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pacing w:before="100" w:beforeAutospacing="1" w:after="100" w:afterAutospacing="1" w:line="500" w:lineRule="exact"/>
        <w:jc w:val="center"/>
        <w:textAlignment w:val="baseline"/>
        <w:rPr>
          <w:rFonts w:ascii="楷体_GB2312" w:hAnsi="黑体" w:eastAsia="楷体_GB2312"/>
          <w:bCs/>
          <w:kern w:val="28"/>
          <w:sz w:val="48"/>
          <w:szCs w:val="48"/>
        </w:rPr>
      </w:pPr>
    </w:p>
    <w:p>
      <w:pPr>
        <w:adjustRightInd w:val="0"/>
        <w:spacing w:before="100" w:beforeAutospacing="1" w:after="100" w:afterAutospacing="1" w:line="500" w:lineRule="exact"/>
        <w:jc w:val="center"/>
        <w:textAlignment w:val="baseline"/>
        <w:rPr>
          <w:rFonts w:ascii="黑体" w:hAnsi="黑体" w:eastAsia="黑体"/>
          <w:bCs/>
          <w:kern w:val="28"/>
          <w:sz w:val="48"/>
          <w:szCs w:val="48"/>
        </w:rPr>
      </w:pPr>
    </w:p>
    <w:p>
      <w:pPr>
        <w:adjustRightInd w:val="0"/>
        <w:spacing w:before="100" w:beforeAutospacing="1" w:after="100" w:afterAutospacing="1" w:line="500" w:lineRule="exact"/>
        <w:jc w:val="center"/>
        <w:textAlignment w:val="baseline"/>
        <w:rPr>
          <w:rFonts w:ascii="黑体" w:hAnsi="黑体" w:eastAsia="黑体"/>
          <w:bCs/>
          <w:kern w:val="28"/>
          <w:sz w:val="48"/>
          <w:szCs w:val="48"/>
        </w:rPr>
      </w:pPr>
      <w:r>
        <w:rPr>
          <w:rFonts w:hint="eastAsia" w:ascii="黑体" w:hAnsi="黑体" w:eastAsia="黑体"/>
          <w:bCs/>
          <w:kern w:val="28"/>
          <w:sz w:val="48"/>
          <w:szCs w:val="48"/>
        </w:rPr>
        <w:t>涉执房地产处置司法评估报告</w:t>
      </w:r>
    </w:p>
    <w:p>
      <w:pPr>
        <w:adjustRightInd w:val="0"/>
        <w:spacing w:before="100" w:beforeAutospacing="1" w:after="100" w:afterAutospacing="1" w:line="500" w:lineRule="exact"/>
        <w:jc w:val="center"/>
        <w:textAlignment w:val="baseline"/>
        <w:rPr>
          <w:rFonts w:ascii="黑体" w:hAnsi="黑体" w:eastAsia="黑体"/>
          <w:bCs/>
          <w:kern w:val="28"/>
          <w:sz w:val="48"/>
          <w:szCs w:val="48"/>
        </w:rPr>
      </w:pPr>
    </w:p>
    <w:p>
      <w:pPr>
        <w:jc w:val="center"/>
        <w:rPr>
          <w:rFonts w:ascii="楷体_GB2312" w:hAnsi="黑体" w:eastAsia="楷体_GB2312"/>
          <w:kern w:val="0"/>
          <w:sz w:val="36"/>
          <w:szCs w:val="36"/>
        </w:rPr>
      </w:pPr>
    </w:p>
    <w:p>
      <w:pPr>
        <w:spacing w:line="360" w:lineRule="auto"/>
        <w:ind w:left="2460" w:leftChars="150" w:hanging="2145" w:hangingChars="715"/>
        <w:jc w:val="left"/>
        <w:rPr>
          <w:rFonts w:ascii="楷体_GB2312" w:hAnsi="黑体" w:eastAsia="仿宋_GB2312"/>
          <w:kern w:val="28"/>
          <w:sz w:val="30"/>
          <w:szCs w:val="30"/>
        </w:rPr>
      </w:pPr>
      <w:r>
        <w:rPr>
          <w:rFonts w:hint="eastAsia" w:ascii="黑体" w:hAnsi="黑体" w:eastAsia="黑体" w:cs="黑体"/>
          <w:bCs/>
          <w:kern w:val="28"/>
          <w:sz w:val="30"/>
          <w:szCs w:val="30"/>
        </w:rPr>
        <w:t>估价项目名称</w:t>
      </w:r>
      <w:r>
        <w:rPr>
          <w:rFonts w:hint="eastAsia" w:ascii="黑体" w:hAnsi="黑体" w:eastAsia="黑体" w:cs="黑体"/>
          <w:sz w:val="30"/>
          <w:szCs w:val="30"/>
        </w:rPr>
        <w:t>：</w:t>
      </w:r>
      <w:r>
        <w:rPr>
          <w:rFonts w:hint="eastAsia" w:ascii="仿宋_GB2312" w:hAnsi="黑体" w:eastAsia="仿宋_GB2312"/>
          <w:kern w:val="28"/>
          <w:sz w:val="30"/>
          <w:szCs w:val="30"/>
          <w:lang w:eastAsia="zh-CN"/>
        </w:rPr>
        <w:t>揭阳市惠来县惠城镇葵阳对外工业区家用电器厂</w:t>
      </w:r>
      <w:r>
        <w:rPr>
          <w:rFonts w:hint="eastAsia" w:ascii="仿宋_GB2312" w:hAnsi="黑体" w:eastAsia="仿宋_GB2312"/>
          <w:kern w:val="28"/>
          <w:sz w:val="30"/>
          <w:szCs w:val="30"/>
        </w:rPr>
        <w:t>涉执房地产处置司法评估报告</w:t>
      </w:r>
    </w:p>
    <w:p>
      <w:pPr>
        <w:spacing w:before="100" w:beforeAutospacing="1" w:after="100" w:afterAutospacing="1" w:line="460" w:lineRule="exact"/>
        <w:ind w:left="2410" w:leftChars="126" w:right="223" w:rightChars="106" w:hanging="2145" w:hangingChars="715"/>
        <w:jc w:val="left"/>
        <w:rPr>
          <w:rFonts w:hint="eastAsia" w:ascii="楷体_GB2312" w:hAnsi="黑体" w:eastAsia="黑体" w:cs="黑体"/>
          <w:kern w:val="28"/>
          <w:sz w:val="30"/>
          <w:szCs w:val="30"/>
          <w:lang w:eastAsia="zh-CN"/>
        </w:rPr>
      </w:pPr>
      <w:r>
        <w:rPr>
          <w:rFonts w:hint="eastAsia" w:ascii="黑体" w:hAnsi="黑体" w:eastAsia="黑体"/>
          <w:bCs/>
          <w:kern w:val="28"/>
          <w:sz w:val="30"/>
          <w:szCs w:val="30"/>
        </w:rPr>
        <w:t>估价委托方：</w:t>
      </w:r>
      <w:r>
        <w:rPr>
          <w:rFonts w:hint="eastAsia" w:ascii="仿宋_GB2312" w:hAnsi="黑体" w:eastAsia="仿宋_GB2312"/>
          <w:kern w:val="28"/>
          <w:sz w:val="30"/>
          <w:szCs w:val="30"/>
          <w:lang w:eastAsia="zh-CN"/>
        </w:rPr>
        <w:t>汕头市中级人民法院</w:t>
      </w:r>
    </w:p>
    <w:p>
      <w:pPr>
        <w:spacing w:line="480" w:lineRule="auto"/>
        <w:ind w:firstLine="300" w:firstLineChars="100"/>
        <w:jc w:val="left"/>
        <w:rPr>
          <w:rFonts w:ascii="楷体_GB2312" w:hAnsi="黑体" w:eastAsia="楷体_GB2312"/>
          <w:bCs/>
          <w:kern w:val="28"/>
          <w:sz w:val="30"/>
          <w:szCs w:val="30"/>
        </w:rPr>
      </w:pPr>
      <w:r>
        <w:rPr>
          <w:rFonts w:hint="eastAsia" w:ascii="黑体" w:hAnsi="黑体" w:eastAsia="黑体"/>
          <w:bCs/>
          <w:kern w:val="28"/>
          <w:sz w:val="30"/>
          <w:szCs w:val="30"/>
        </w:rPr>
        <w:t>估价机构：</w:t>
      </w:r>
      <w:r>
        <w:rPr>
          <w:rFonts w:hint="eastAsia" w:ascii="仿宋_GB2312" w:hAnsi="黑体" w:eastAsia="仿宋_GB2312"/>
          <w:kern w:val="28"/>
          <w:sz w:val="30"/>
          <w:szCs w:val="30"/>
        </w:rPr>
        <w:t>深圳市国咨土地房地产资产评估有限公司</w:t>
      </w:r>
    </w:p>
    <w:p>
      <w:pPr>
        <w:spacing w:line="480" w:lineRule="auto"/>
        <w:ind w:firstLine="300" w:firstLineChars="100"/>
        <w:jc w:val="left"/>
        <w:rPr>
          <w:rFonts w:ascii="楷体_GB2312" w:hAnsi="黑体" w:eastAsia="楷体_GB2312"/>
          <w:kern w:val="0"/>
          <w:sz w:val="30"/>
          <w:szCs w:val="30"/>
        </w:rPr>
      </w:pPr>
      <w:r>
        <w:rPr>
          <w:rFonts w:hint="eastAsia" w:ascii="黑体" w:hAnsi="黑体" w:eastAsia="黑体"/>
          <w:bCs/>
          <w:kern w:val="28"/>
          <w:sz w:val="30"/>
          <w:szCs w:val="30"/>
        </w:rPr>
        <w:t>估价人员：</w:t>
      </w:r>
      <w:r>
        <w:rPr>
          <w:rFonts w:hint="eastAsia" w:ascii="仿宋_GB2312" w:hAnsi="黑体" w:eastAsia="仿宋_GB2312"/>
          <w:kern w:val="28"/>
          <w:sz w:val="30"/>
          <w:szCs w:val="30"/>
        </w:rPr>
        <w:t>邢维雄     陶伟</w:t>
      </w:r>
    </w:p>
    <w:p>
      <w:pPr>
        <w:spacing w:line="480" w:lineRule="auto"/>
        <w:ind w:firstLine="300" w:firstLineChars="100"/>
        <w:jc w:val="left"/>
        <w:rPr>
          <w:rFonts w:hint="eastAsia" w:ascii="楷体_GB2312" w:hAnsi="楷体_GB2312" w:eastAsia="仿宋_GB2312" w:cs="楷体_GB2312"/>
          <w:spacing w:val="-26"/>
          <w:kern w:val="28"/>
          <w:sz w:val="30"/>
          <w:szCs w:val="30"/>
          <w:lang w:eastAsia="zh-CN"/>
        </w:rPr>
      </w:pPr>
      <w:r>
        <w:rPr>
          <w:rFonts w:hint="eastAsia" w:ascii="黑体" w:hAnsi="黑体" w:eastAsia="黑体"/>
          <w:bCs/>
          <w:kern w:val="28"/>
          <w:sz w:val="30"/>
          <w:szCs w:val="30"/>
        </w:rPr>
        <w:t>估价作业日期：</w:t>
      </w:r>
      <w:r>
        <w:rPr>
          <w:rFonts w:hint="eastAsia" w:ascii="仿宋_GB2312" w:hAnsi="黑体" w:eastAsia="仿宋_GB2312"/>
          <w:spacing w:val="-26"/>
          <w:kern w:val="28"/>
          <w:sz w:val="30"/>
          <w:szCs w:val="30"/>
          <w:lang w:eastAsia="zh-CN"/>
        </w:rPr>
        <w:t>二〇二四年二月一日</w:t>
      </w:r>
      <w:r>
        <w:rPr>
          <w:rFonts w:hint="eastAsia" w:ascii="仿宋_GB2312" w:hAnsi="楷体_GB2312" w:eastAsia="仿宋_GB2312" w:cs="楷体_GB2312"/>
          <w:spacing w:val="-26"/>
          <w:kern w:val="28"/>
          <w:sz w:val="30"/>
          <w:szCs w:val="30"/>
        </w:rPr>
        <w:t>至</w:t>
      </w:r>
      <w:r>
        <w:rPr>
          <w:rFonts w:hint="eastAsia" w:ascii="仿宋_GB2312" w:hAnsi="楷体_GB2312" w:eastAsia="仿宋_GB2312" w:cs="楷体_GB2312"/>
          <w:spacing w:val="-26"/>
          <w:kern w:val="28"/>
          <w:sz w:val="30"/>
          <w:szCs w:val="30"/>
          <w:lang w:eastAsia="zh-CN"/>
        </w:rPr>
        <w:t>二〇二四年三月二十九日</w:t>
      </w:r>
    </w:p>
    <w:p>
      <w:pPr>
        <w:spacing w:line="480" w:lineRule="auto"/>
        <w:ind w:firstLine="300" w:firstLineChars="100"/>
        <w:jc w:val="left"/>
        <w:rPr>
          <w:rFonts w:hint="eastAsia" w:ascii="楷体_GB2312" w:hAnsi="黑体" w:eastAsia="黑体"/>
          <w:bCs/>
          <w:kern w:val="28"/>
          <w:sz w:val="30"/>
          <w:szCs w:val="30"/>
          <w:lang w:eastAsia="zh-CN"/>
        </w:rPr>
      </w:pPr>
      <w:r>
        <w:rPr>
          <w:rFonts w:hint="eastAsia" w:ascii="黑体" w:hAnsi="黑体" w:eastAsia="黑体"/>
          <w:bCs/>
          <w:kern w:val="28"/>
          <w:sz w:val="30"/>
          <w:szCs w:val="30"/>
        </w:rPr>
        <w:t>报告提交日期：</w:t>
      </w:r>
      <w:r>
        <w:rPr>
          <w:rFonts w:hint="eastAsia" w:ascii="仿宋_GB2312" w:hAnsi="楷体_GB2312" w:eastAsia="仿宋_GB2312" w:cs="楷体_GB2312"/>
          <w:spacing w:val="-26"/>
          <w:kern w:val="28"/>
          <w:sz w:val="30"/>
          <w:szCs w:val="30"/>
          <w:lang w:eastAsia="zh-CN"/>
        </w:rPr>
        <w:t>二〇二四年三月二十九日</w:t>
      </w:r>
    </w:p>
    <w:p>
      <w:pPr>
        <w:spacing w:line="480" w:lineRule="auto"/>
        <w:ind w:firstLine="300" w:firstLineChars="100"/>
        <w:jc w:val="left"/>
        <w:rPr>
          <w:rFonts w:hint="eastAsia" w:ascii="楷体_GB2312" w:hAnsi="黑体" w:eastAsia="黑体"/>
          <w:kern w:val="28"/>
          <w:sz w:val="30"/>
          <w:szCs w:val="30"/>
          <w:lang w:eastAsia="zh-CN"/>
        </w:rPr>
      </w:pPr>
      <w:r>
        <w:rPr>
          <w:rFonts w:hint="eastAsia" w:ascii="黑体" w:hAnsi="黑体" w:eastAsia="黑体"/>
          <w:bCs/>
          <w:kern w:val="28"/>
          <w:sz w:val="30"/>
          <w:szCs w:val="30"/>
        </w:rPr>
        <w:t>估价报告编号：</w:t>
      </w:r>
      <w:r>
        <w:rPr>
          <w:rFonts w:hint="eastAsia" w:ascii="仿宋_GB2312" w:hAnsi="黑体" w:eastAsia="仿宋_GB2312"/>
          <w:kern w:val="28"/>
          <w:sz w:val="30"/>
          <w:szCs w:val="30"/>
          <w:lang w:eastAsia="zh-CN"/>
        </w:rPr>
        <w:t>深国咨汕评字[2024]S03第0001号</w:t>
      </w:r>
    </w:p>
    <w:p>
      <w:pPr>
        <w:spacing w:line="460" w:lineRule="exact"/>
        <w:ind w:firstLine="640" w:firstLineChars="200"/>
        <w:jc w:val="left"/>
        <w:rPr>
          <w:rFonts w:ascii="楷体_GB2312" w:hAnsi="黑体" w:eastAsia="楷体_GB2312"/>
          <w:bCs/>
          <w:kern w:val="28"/>
          <w:sz w:val="32"/>
          <w:szCs w:val="32"/>
        </w:rPr>
      </w:pPr>
    </w:p>
    <w:p>
      <w:pPr>
        <w:spacing w:line="460" w:lineRule="exact"/>
        <w:ind w:firstLine="640" w:firstLineChars="200"/>
        <w:jc w:val="left"/>
        <w:rPr>
          <w:rFonts w:ascii="楷体_GB2312" w:hAnsi="黑体" w:eastAsia="楷体_GB2312"/>
          <w:bCs/>
          <w:kern w:val="28"/>
          <w:sz w:val="32"/>
          <w:szCs w:val="32"/>
        </w:rPr>
      </w:pPr>
    </w:p>
    <w:p>
      <w:pPr>
        <w:spacing w:line="460" w:lineRule="exact"/>
        <w:jc w:val="left"/>
        <w:rPr>
          <w:rFonts w:ascii="楷体_GB2312" w:hAnsi="黑体" w:eastAsia="楷体_GB2312"/>
          <w:bCs/>
          <w:kern w:val="28"/>
          <w:sz w:val="32"/>
          <w:szCs w:val="32"/>
        </w:rPr>
      </w:pPr>
    </w:p>
    <w:p>
      <w:pPr>
        <w:rPr>
          <w:rFonts w:ascii="楷体_GB2312" w:eastAsia="楷体_GB2312"/>
          <w:snapToGrid w:val="0"/>
          <w:kern w:val="0"/>
          <w:sz w:val="36"/>
          <w:szCs w:val="36"/>
        </w:rPr>
      </w:pPr>
    </w:p>
    <w:p>
      <w:pPr>
        <w:pStyle w:val="23"/>
        <w:adjustRightInd w:val="0"/>
        <w:snapToGrid w:val="0"/>
        <w:spacing w:before="479" w:beforeLines="100" w:after="479" w:afterLines="100" w:line="600" w:lineRule="exact"/>
        <w:jc w:val="center"/>
        <w:rPr>
          <w:rFonts w:ascii="Times New Roman" w:hAnsi="Times New Roman" w:eastAsia="黑体"/>
          <w:b/>
          <w:sz w:val="44"/>
          <w:szCs w:val="44"/>
        </w:rPr>
      </w:pPr>
    </w:p>
    <w:p>
      <w:pPr>
        <w:pStyle w:val="23"/>
        <w:adjustRightInd w:val="0"/>
        <w:snapToGrid w:val="0"/>
        <w:spacing w:before="479" w:beforeLines="100" w:after="479" w:afterLines="100" w:line="600" w:lineRule="exact"/>
        <w:jc w:val="center"/>
        <w:rPr>
          <w:rFonts w:ascii="Times New Roman" w:hAnsi="Times New Roman" w:eastAsia="黑体"/>
          <w:b/>
          <w:sz w:val="44"/>
          <w:szCs w:val="44"/>
        </w:rPr>
      </w:pPr>
    </w:p>
    <w:p>
      <w:pPr>
        <w:pStyle w:val="23"/>
        <w:adjustRightInd w:val="0"/>
        <w:snapToGrid w:val="0"/>
        <w:spacing w:before="479" w:beforeLines="100" w:after="479" w:afterLines="100" w:line="500" w:lineRule="exact"/>
        <w:jc w:val="center"/>
        <w:rPr>
          <w:rFonts w:ascii="Times New Roman" w:hAnsi="Times New Roman" w:eastAsia="黑体"/>
          <w:b/>
          <w:sz w:val="44"/>
          <w:szCs w:val="44"/>
        </w:rPr>
      </w:pPr>
      <w:r>
        <w:rPr>
          <w:rFonts w:hint="eastAsia" w:ascii="Times New Roman" w:hAnsi="Times New Roman" w:eastAsia="黑体"/>
          <w:b/>
          <w:sz w:val="44"/>
          <w:szCs w:val="44"/>
        </w:rPr>
        <w:t>房地产估价</w:t>
      </w:r>
      <w:r>
        <w:rPr>
          <w:rFonts w:ascii="Times New Roman" w:hAnsi="Times New Roman" w:eastAsia="黑体"/>
          <w:b/>
          <w:sz w:val="44"/>
          <w:szCs w:val="44"/>
        </w:rPr>
        <w:t>报告摘要</w:t>
      </w:r>
    </w:p>
    <w:p>
      <w:pPr>
        <w:pStyle w:val="23"/>
        <w:adjustRightInd w:val="0"/>
        <w:snapToGrid w:val="0"/>
        <w:spacing w:before="479" w:beforeLines="100" w:after="479" w:afterLines="100" w:line="500" w:lineRule="exact"/>
        <w:jc w:val="center"/>
        <w:rPr>
          <w:rFonts w:eastAsia="仿宋_GB2312"/>
          <w:sz w:val="24"/>
        </w:rPr>
      </w:pPr>
      <w:r>
        <w:rPr>
          <w:rFonts w:hint="eastAsia" w:eastAsia="仿宋_GB2312"/>
          <w:sz w:val="24"/>
          <w:lang w:eastAsia="zh-CN"/>
        </w:rPr>
        <w:t>深国咨汕评字[2024]S03第0001号</w:t>
      </w:r>
    </w:p>
    <w:tbl>
      <w:tblPr>
        <w:tblStyle w:val="45"/>
        <w:tblpPr w:leftFromText="180" w:rightFromText="180" w:vertAnchor="text" w:horzAnchor="margin" w:tblpXSpec="center" w:tblpY="60"/>
        <w:tblW w:w="9472" w:type="dxa"/>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5827"/>
        <w:gridCol w:w="3645"/>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758" w:hRule="atLeast"/>
        </w:trPr>
        <w:tc>
          <w:tcPr>
            <w:tcW w:w="5827" w:type="dxa"/>
          </w:tcPr>
          <w:p>
            <w:pPr>
              <w:tabs>
                <w:tab w:val="left" w:pos="534"/>
              </w:tabs>
              <w:spacing w:line="360" w:lineRule="auto"/>
              <w:ind w:left="320" w:firstLine="960" w:firstLineChars="400"/>
              <w:rPr>
                <w:rFonts w:hint="default" w:eastAsia="仿宋_GB2312"/>
                <w:sz w:val="24"/>
                <w:lang w:val="en-US" w:eastAsia="zh-CN"/>
              </w:rPr>
            </w:pPr>
            <w:r>
              <w:rPr>
                <w:rFonts w:hint="eastAsia" w:eastAsia="仿宋_GB2312"/>
                <w:sz w:val="24"/>
                <w:lang w:eastAsia="zh-CN"/>
              </w:rPr>
              <w:t>南楼</w:t>
            </w:r>
            <w:r>
              <w:rPr>
                <w:rFonts w:hint="eastAsia" w:eastAsia="仿宋_GB2312"/>
                <w:sz w:val="24"/>
                <w:lang w:val="en-US" w:eastAsia="zh-CN"/>
              </w:rPr>
              <w:t xml:space="preserve">                  北楼</w:t>
            </w:r>
          </w:p>
          <w:p>
            <w:pPr>
              <w:tabs>
                <w:tab w:val="left" w:pos="534"/>
              </w:tabs>
              <w:spacing w:line="360" w:lineRule="auto"/>
              <w:ind w:left="320"/>
              <w:rPr>
                <w:rFonts w:eastAsia="仿宋_GB2312"/>
                <w:sz w:val="24"/>
              </w:rPr>
            </w:pPr>
            <w:r>
              <w:drawing>
                <wp:anchor distT="0" distB="0" distL="114300" distR="114300" simplePos="0" relativeHeight="251660288" behindDoc="1" locked="0" layoutInCell="1" allowOverlap="1">
                  <wp:simplePos x="0" y="0"/>
                  <wp:positionH relativeFrom="column">
                    <wp:posOffset>1889125</wp:posOffset>
                  </wp:positionH>
                  <wp:positionV relativeFrom="paragraph">
                    <wp:posOffset>40005</wp:posOffset>
                  </wp:positionV>
                  <wp:extent cx="1615440" cy="1266825"/>
                  <wp:effectExtent l="0" t="0" r="3810" b="952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1615440" cy="1266825"/>
                          </a:xfrm>
                          <a:prstGeom prst="rect">
                            <a:avLst/>
                          </a:prstGeom>
                          <a:noFill/>
                          <a:ln>
                            <a:noFill/>
                          </a:ln>
                        </pic:spPr>
                      </pic:pic>
                    </a:graphicData>
                  </a:graphic>
                </wp:anchor>
              </w:drawing>
            </w:r>
            <w:r>
              <w:drawing>
                <wp:anchor distT="0" distB="0" distL="114300" distR="114300" simplePos="0" relativeHeight="251660288" behindDoc="1" locked="0" layoutInCell="1" allowOverlap="1">
                  <wp:simplePos x="0" y="0"/>
                  <wp:positionH relativeFrom="column">
                    <wp:posOffset>5080</wp:posOffset>
                  </wp:positionH>
                  <wp:positionV relativeFrom="paragraph">
                    <wp:posOffset>17145</wp:posOffset>
                  </wp:positionV>
                  <wp:extent cx="1678940" cy="1273810"/>
                  <wp:effectExtent l="0" t="0" r="16510" b="254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678940" cy="1273810"/>
                          </a:xfrm>
                          <a:prstGeom prst="rect">
                            <a:avLst/>
                          </a:prstGeom>
                          <a:noFill/>
                          <a:ln>
                            <a:noFill/>
                          </a:ln>
                        </pic:spPr>
                      </pic:pic>
                    </a:graphicData>
                  </a:graphic>
                </wp:anchor>
              </w:drawing>
            </w:r>
          </w:p>
          <w:p>
            <w:pPr>
              <w:tabs>
                <w:tab w:val="left" w:pos="534"/>
              </w:tabs>
              <w:spacing w:line="360" w:lineRule="auto"/>
              <w:ind w:left="320"/>
              <w:rPr>
                <w:rFonts w:eastAsia="仿宋_GB2312"/>
                <w:sz w:val="24"/>
              </w:rPr>
            </w:pPr>
            <w:r>
              <w:rPr>
                <w:rFonts w:hint="eastAsia" w:eastAsia="仿宋_GB2312"/>
                <w:sz w:val="24"/>
              </w:rPr>
              <w:tab/>
            </w:r>
          </w:p>
          <w:p>
            <w:pPr>
              <w:tabs>
                <w:tab w:val="left" w:pos="534"/>
              </w:tabs>
              <w:spacing w:line="360" w:lineRule="auto"/>
              <w:ind w:left="320"/>
              <w:rPr>
                <w:rFonts w:eastAsia="仿宋_GB2312"/>
                <w:sz w:val="24"/>
              </w:rPr>
            </w:pPr>
            <w:r>
              <w:rPr>
                <w:rFonts w:hint="eastAsia" w:eastAsia="仿宋_GB2312"/>
                <w:sz w:val="24"/>
              </w:rPr>
              <w:tab/>
            </w:r>
          </w:p>
          <w:p>
            <w:pPr>
              <w:tabs>
                <w:tab w:val="left" w:pos="534"/>
              </w:tabs>
              <w:spacing w:line="360" w:lineRule="auto"/>
              <w:ind w:left="320"/>
              <w:rPr>
                <w:rFonts w:eastAsia="仿宋_GB2312"/>
                <w:sz w:val="24"/>
              </w:rPr>
            </w:pPr>
          </w:p>
          <w:p>
            <w:pPr>
              <w:tabs>
                <w:tab w:val="left" w:pos="534"/>
              </w:tabs>
              <w:spacing w:line="360" w:lineRule="auto"/>
              <w:ind w:left="320"/>
              <w:rPr>
                <w:rFonts w:hint="eastAsia" w:eastAsia="仿宋_GB2312"/>
                <w:sz w:val="24"/>
                <w:lang w:eastAsia="zh-CN"/>
              </w:rPr>
            </w:pPr>
          </w:p>
          <w:p>
            <w:pPr>
              <w:tabs>
                <w:tab w:val="left" w:pos="534"/>
              </w:tabs>
              <w:spacing w:line="360" w:lineRule="auto"/>
              <w:rPr>
                <w:rFonts w:eastAsia="仿宋_GB2312"/>
                <w:sz w:val="24"/>
              </w:rPr>
            </w:pPr>
          </w:p>
        </w:tc>
        <w:tc>
          <w:tcPr>
            <w:tcW w:w="3645" w:type="dxa"/>
          </w:tcPr>
          <w:p>
            <w:pPr>
              <w:tabs>
                <w:tab w:val="left" w:pos="534"/>
              </w:tabs>
              <w:spacing w:line="360" w:lineRule="auto"/>
              <w:ind w:left="320"/>
              <w:rPr>
                <w:rFonts w:eastAsia="仿宋_GB2312"/>
                <w:sz w:val="24"/>
              </w:rPr>
            </w:pPr>
          </w:p>
          <w:p>
            <w:pPr>
              <w:tabs>
                <w:tab w:val="left" w:pos="534"/>
              </w:tabs>
              <w:spacing w:line="360" w:lineRule="auto"/>
              <w:ind w:left="320"/>
              <w:rPr>
                <w:rFonts w:eastAsia="仿宋_GB2312"/>
                <w:sz w:val="24"/>
              </w:rPr>
            </w:pPr>
            <w:r>
              <w:rPr>
                <w:rFonts w:hint="eastAsia" w:eastAsia="仿宋_GB2312"/>
                <w:sz w:val="24"/>
              </w:rPr>
              <w:t>价值结果要点摘录</w:t>
            </w:r>
          </w:p>
          <w:p>
            <w:pPr>
              <w:tabs>
                <w:tab w:val="left" w:pos="534"/>
              </w:tabs>
              <w:spacing w:line="360" w:lineRule="auto"/>
              <w:ind w:left="320"/>
              <w:rPr>
                <w:rFonts w:hint="eastAsia" w:eastAsia="仿宋_GB2312"/>
                <w:sz w:val="24"/>
                <w:lang w:eastAsia="zh-CN"/>
              </w:rPr>
            </w:pPr>
            <w:r>
              <w:rPr>
                <w:rFonts w:hint="eastAsia" w:eastAsia="仿宋_GB2312"/>
                <w:sz w:val="24"/>
              </w:rPr>
              <w:t>价值时点：</w:t>
            </w:r>
            <w:r>
              <w:rPr>
                <w:rFonts w:hint="eastAsia" w:eastAsia="仿宋_GB2312"/>
                <w:sz w:val="24"/>
                <w:lang w:eastAsia="zh-CN"/>
              </w:rPr>
              <w:t>2024年2月1日</w:t>
            </w:r>
          </w:p>
          <w:p>
            <w:pPr>
              <w:tabs>
                <w:tab w:val="left" w:pos="534"/>
              </w:tabs>
              <w:spacing w:line="360" w:lineRule="auto"/>
              <w:ind w:left="320"/>
              <w:rPr>
                <w:rFonts w:eastAsia="仿宋_GB2312"/>
                <w:sz w:val="24"/>
              </w:rPr>
            </w:pPr>
            <w:r>
              <w:rPr>
                <w:rFonts w:hint="eastAsia" w:eastAsia="仿宋_GB2312"/>
                <w:sz w:val="24"/>
              </w:rPr>
              <w:t>建筑面积：</w:t>
            </w:r>
            <w:r>
              <w:rPr>
                <w:rFonts w:hint="eastAsia" w:eastAsia="仿宋_GB2312"/>
                <w:sz w:val="24"/>
                <w:lang w:eastAsia="zh-CN"/>
              </w:rPr>
              <w:t>3563.7</w:t>
            </w:r>
            <w:r>
              <w:rPr>
                <w:rFonts w:hint="eastAsia" w:eastAsia="仿宋_GB2312"/>
                <w:sz w:val="24"/>
              </w:rPr>
              <w:t>㎡</w:t>
            </w:r>
          </w:p>
          <w:p>
            <w:pPr>
              <w:tabs>
                <w:tab w:val="left" w:pos="534"/>
              </w:tabs>
              <w:spacing w:line="360" w:lineRule="auto"/>
              <w:ind w:left="320"/>
              <w:rPr>
                <w:rFonts w:eastAsia="仿宋_GB2312"/>
                <w:sz w:val="24"/>
              </w:rPr>
            </w:pPr>
            <w:r>
              <w:rPr>
                <w:rFonts w:hint="eastAsia" w:eastAsia="仿宋_GB2312"/>
                <w:color w:val="auto"/>
                <w:sz w:val="24"/>
                <w:highlight w:val="none"/>
                <w:lang w:eastAsia="zh-CN"/>
              </w:rPr>
              <w:t>法定</w:t>
            </w:r>
            <w:r>
              <w:rPr>
                <w:rFonts w:hint="eastAsia" w:eastAsia="仿宋_GB2312"/>
                <w:color w:val="auto"/>
                <w:sz w:val="24"/>
                <w:highlight w:val="none"/>
              </w:rPr>
              <w:t>用途：厂</w:t>
            </w:r>
            <w:r>
              <w:rPr>
                <w:rFonts w:hint="eastAsia" w:eastAsia="仿宋_GB2312"/>
                <w:sz w:val="24"/>
              </w:rPr>
              <w:t>房</w:t>
            </w:r>
          </w:p>
          <w:p>
            <w:pPr>
              <w:tabs>
                <w:tab w:val="left" w:pos="534"/>
              </w:tabs>
              <w:spacing w:line="360" w:lineRule="auto"/>
              <w:ind w:left="320"/>
              <w:rPr>
                <w:rFonts w:eastAsia="仿宋_GB2312"/>
                <w:sz w:val="24"/>
              </w:rPr>
            </w:pPr>
            <w:r>
              <w:rPr>
                <w:rFonts w:hint="eastAsia" w:eastAsia="仿宋_GB2312"/>
                <w:sz w:val="24"/>
              </w:rPr>
              <w:t>市场价格：</w:t>
            </w:r>
            <w:r>
              <w:rPr>
                <w:rFonts w:hint="eastAsia" w:eastAsia="仿宋_GB2312"/>
                <w:sz w:val="24"/>
                <w:lang w:val="en-US" w:eastAsia="zh-CN"/>
              </w:rPr>
              <w:t>583.29</w:t>
            </w:r>
            <w:r>
              <w:rPr>
                <w:rFonts w:hint="eastAsia" w:eastAsia="仿宋_GB2312"/>
                <w:sz w:val="24"/>
              </w:rPr>
              <w:t>万元</w:t>
            </w:r>
          </w:p>
        </w:tc>
      </w:tr>
    </w:tbl>
    <w:p>
      <w:pPr>
        <w:tabs>
          <w:tab w:val="left" w:pos="534"/>
        </w:tabs>
        <w:spacing w:line="360" w:lineRule="auto"/>
        <w:ind w:left="288"/>
        <w:jc w:val="center"/>
        <w:rPr>
          <w:rFonts w:eastAsia="仿宋_GB2312"/>
          <w:sz w:val="24"/>
        </w:rPr>
      </w:pPr>
      <w:r>
        <w:drawing>
          <wp:anchor distT="0" distB="0" distL="114300" distR="114300" simplePos="0" relativeHeight="251660288" behindDoc="1" locked="0" layoutInCell="1" allowOverlap="1">
            <wp:simplePos x="0" y="0"/>
            <wp:positionH relativeFrom="column">
              <wp:posOffset>29210</wp:posOffset>
            </wp:positionH>
            <wp:positionV relativeFrom="paragraph">
              <wp:posOffset>3129280</wp:posOffset>
            </wp:positionV>
            <wp:extent cx="5367020" cy="3506470"/>
            <wp:effectExtent l="0" t="0" r="5080" b="1778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367020" cy="3506470"/>
                    </a:xfrm>
                    <a:prstGeom prst="rect">
                      <a:avLst/>
                    </a:prstGeom>
                    <a:noFill/>
                    <a:ln>
                      <a:noFill/>
                    </a:ln>
                  </pic:spPr>
                </pic:pic>
              </a:graphicData>
            </a:graphic>
          </wp:anchor>
        </w:drawing>
      </w:r>
    </w:p>
    <w:p>
      <w:pPr>
        <w:tabs>
          <w:tab w:val="left" w:pos="534"/>
        </w:tabs>
        <w:spacing w:line="360" w:lineRule="auto"/>
        <w:ind w:left="288"/>
        <w:jc w:val="center"/>
        <w:rPr>
          <w:rFonts w:eastAsia="仿宋_GB2312"/>
          <w:sz w:val="24"/>
        </w:rPr>
      </w:pPr>
    </w:p>
    <w:p>
      <w:pPr>
        <w:pStyle w:val="18"/>
        <w:adjustRightInd w:val="0"/>
        <w:spacing w:line="600" w:lineRule="exact"/>
        <w:ind w:firstLine="601"/>
        <w:jc w:val="center"/>
        <w:rPr>
          <w:rFonts w:eastAsia="黑体"/>
          <w:szCs w:val="28"/>
        </w:rPr>
      </w:pPr>
    </w:p>
    <w:p>
      <w:pPr>
        <w:pStyle w:val="18"/>
        <w:adjustRightInd w:val="0"/>
        <w:spacing w:line="600" w:lineRule="exact"/>
        <w:ind w:firstLine="601"/>
        <w:jc w:val="center"/>
        <w:rPr>
          <w:rFonts w:eastAsia="黑体"/>
          <w:szCs w:val="28"/>
        </w:rPr>
      </w:pPr>
    </w:p>
    <w:p>
      <w:pPr>
        <w:pStyle w:val="18"/>
        <w:adjustRightInd w:val="0"/>
        <w:spacing w:line="600" w:lineRule="exact"/>
        <w:ind w:firstLine="601"/>
        <w:jc w:val="center"/>
        <w:rPr>
          <w:rFonts w:hint="eastAsia" w:eastAsia="黑体"/>
          <w:szCs w:val="28"/>
          <w:lang w:eastAsia="zh-CN"/>
        </w:rPr>
      </w:pPr>
      <w:r>
        <mc:AlternateContent>
          <mc:Choice Requires="wps">
            <w:drawing>
              <wp:anchor distT="0" distB="0" distL="114300" distR="114300" simplePos="0" relativeHeight="251659264" behindDoc="0" locked="0" layoutInCell="1" allowOverlap="1">
                <wp:simplePos x="0" y="0"/>
                <wp:positionH relativeFrom="column">
                  <wp:posOffset>3180080</wp:posOffset>
                </wp:positionH>
                <wp:positionV relativeFrom="paragraph">
                  <wp:posOffset>132080</wp:posOffset>
                </wp:positionV>
                <wp:extent cx="734695" cy="342900"/>
                <wp:effectExtent l="347980" t="8890" r="12700" b="362585"/>
                <wp:wrapNone/>
                <wp:docPr id="19" name="自选图形 3"/>
                <wp:cNvGraphicFramePr/>
                <a:graphic xmlns:a="http://schemas.openxmlformats.org/drawingml/2006/main">
                  <a:graphicData uri="http://schemas.microsoft.com/office/word/2010/wordprocessingShape">
                    <wps:wsp>
                      <wps:cNvSpPr>
                        <a:spLocks noChangeArrowheads="1"/>
                      </wps:cNvSpPr>
                      <wps:spPr bwMode="auto">
                        <a:xfrm>
                          <a:off x="0" y="0"/>
                          <a:ext cx="734695" cy="342900"/>
                        </a:xfrm>
                        <a:prstGeom prst="wedgeRectCallout">
                          <a:avLst>
                            <a:gd name="adj1" fmla="val -89060"/>
                            <a:gd name="adj2" fmla="val 142727"/>
                          </a:avLst>
                        </a:prstGeom>
                        <a:solidFill>
                          <a:srgbClr val="FFFFFF"/>
                        </a:solidFill>
                        <a:ln w="9525" cmpd="sng">
                          <a:solidFill>
                            <a:srgbClr val="000000"/>
                          </a:solidFill>
                          <a:miter lim="800000"/>
                        </a:ln>
                      </wps:spPr>
                      <wps:txbx>
                        <w:txbxContent>
                          <w:p>
                            <w:r>
                              <w:rPr>
                                <w:rFonts w:hint="eastAsia"/>
                              </w:rPr>
                              <w:t>物业位置</w:t>
                            </w:r>
                          </w:p>
                        </w:txbxContent>
                      </wps:txbx>
                      <wps:bodyPr rot="0" vert="horz" wrap="square" lIns="91440" tIns="45720" rIns="91440" bIns="45720" anchor="t" anchorCtr="0" upright="1">
                        <a:noAutofit/>
                      </wps:bodyPr>
                    </wps:wsp>
                  </a:graphicData>
                </a:graphic>
              </wp:anchor>
            </w:drawing>
          </mc:Choice>
          <mc:Fallback>
            <w:pict>
              <v:shape id="自选图形 3" o:spid="_x0000_s1026" o:spt="61" type="#_x0000_t61" style="position:absolute;left:0pt;margin-left:250.4pt;margin-top:10.4pt;height:27pt;width:57.85pt;z-index:251659264;mso-width-relative:page;mso-height-relative:page;" fillcolor="#FFFFFF" filled="t" stroked="t" coordsize="21600,21600" o:gfxdata="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0txCP2AAAAAkBAAAPAAAAAAAAAAEAIAAAACIAAABkcnMv&#10;ZG93bnJldi54bWxQSwECFAAUAAAACACHTuJAqUZjpnUCAADqBAAADgAAAAAAAAABACAAAAAnAQAA&#10;ZHJzL2Uyb0RvYy54bWxQSwUGAAAAAAYABgBZAQAADgYAAAAA&#10;" adj="-8437,41629">
                <v:fill on="t" focussize="0,0"/>
                <v:stroke color="#000000" miterlimit="8" joinstyle="miter"/>
                <v:imagedata o:title=""/>
                <o:lock v:ext="edit" aspectratio="f"/>
                <v:textbox>
                  <w:txbxContent>
                    <w:p>
                      <w:r>
                        <w:rPr>
                          <w:rFonts w:hint="eastAsia"/>
                        </w:rPr>
                        <w:t>物业位置</w:t>
                      </w:r>
                    </w:p>
                  </w:txbxContent>
                </v:textbox>
              </v:shape>
            </w:pict>
          </mc:Fallback>
        </mc:AlternateContent>
      </w:r>
    </w:p>
    <w:p>
      <w:pPr>
        <w:pStyle w:val="18"/>
        <w:adjustRightInd w:val="0"/>
        <w:spacing w:line="600" w:lineRule="exact"/>
        <w:ind w:firstLine="601"/>
        <w:jc w:val="center"/>
        <w:rPr>
          <w:rFonts w:eastAsia="黑体"/>
          <w:szCs w:val="28"/>
        </w:rPr>
      </w:pPr>
    </w:p>
    <w:p>
      <w:pPr>
        <w:pStyle w:val="18"/>
        <w:adjustRightInd w:val="0"/>
        <w:spacing w:line="600" w:lineRule="exact"/>
        <w:ind w:firstLine="601"/>
        <w:jc w:val="center"/>
        <w:rPr>
          <w:rFonts w:eastAsia="黑体"/>
          <w:szCs w:val="28"/>
        </w:rPr>
      </w:pPr>
    </w:p>
    <w:p>
      <w:pPr>
        <w:pStyle w:val="18"/>
        <w:adjustRightInd w:val="0"/>
        <w:spacing w:line="600" w:lineRule="exact"/>
        <w:ind w:firstLine="601"/>
        <w:jc w:val="center"/>
        <w:rPr>
          <w:rFonts w:eastAsia="黑体"/>
          <w:szCs w:val="28"/>
        </w:rPr>
      </w:pPr>
    </w:p>
    <w:p>
      <w:pPr>
        <w:pStyle w:val="18"/>
        <w:adjustRightInd w:val="0"/>
        <w:spacing w:line="600" w:lineRule="exact"/>
        <w:ind w:firstLine="601"/>
        <w:jc w:val="center"/>
        <w:rPr>
          <w:rFonts w:eastAsia="黑体"/>
          <w:szCs w:val="28"/>
        </w:rPr>
      </w:pPr>
    </w:p>
    <w:p>
      <w:pPr>
        <w:pStyle w:val="18"/>
        <w:adjustRightInd w:val="0"/>
        <w:spacing w:line="600" w:lineRule="exact"/>
        <w:ind w:firstLine="601"/>
        <w:jc w:val="center"/>
        <w:rPr>
          <w:rFonts w:eastAsia="黑体"/>
          <w:szCs w:val="28"/>
        </w:rPr>
      </w:pPr>
    </w:p>
    <w:p>
      <w:pPr>
        <w:pStyle w:val="18"/>
        <w:adjustRightInd w:val="0"/>
        <w:spacing w:line="600" w:lineRule="exact"/>
        <w:ind w:firstLine="601"/>
        <w:jc w:val="center"/>
        <w:rPr>
          <w:rFonts w:eastAsia="黑体"/>
          <w:szCs w:val="28"/>
        </w:rPr>
      </w:pPr>
    </w:p>
    <w:p>
      <w:pPr>
        <w:pStyle w:val="18"/>
        <w:adjustRightInd w:val="0"/>
        <w:spacing w:line="600" w:lineRule="exact"/>
        <w:ind w:firstLine="601"/>
        <w:jc w:val="center"/>
        <w:rPr>
          <w:rFonts w:eastAsia="黑体"/>
          <w:szCs w:val="28"/>
        </w:rPr>
      </w:pPr>
      <w:r>
        <w:rPr>
          <w:rFonts w:hint="eastAsia" w:eastAsia="黑体"/>
          <w:szCs w:val="28"/>
        </w:rPr>
        <w:t>深圳市国咨土地房地产资产评估有限公司</w:t>
      </w:r>
    </w:p>
    <w:p>
      <w:pPr>
        <w:ind w:firstLine="600"/>
        <w:jc w:val="center"/>
        <w:rPr>
          <w:rFonts w:hint="eastAsia" w:eastAsia="黑体"/>
          <w:sz w:val="28"/>
          <w:szCs w:val="28"/>
          <w:lang w:eastAsia="zh-CN"/>
        </w:rPr>
      </w:pPr>
      <w:r>
        <w:rPr>
          <w:rFonts w:hint="eastAsia" w:eastAsia="黑体"/>
          <w:sz w:val="28"/>
          <w:szCs w:val="28"/>
          <w:lang w:eastAsia="zh-CN"/>
        </w:rPr>
        <w:t>二〇二四年三月二十九日</w:t>
      </w:r>
    </w:p>
    <w:p>
      <w:pPr>
        <w:rPr>
          <w:rFonts w:ascii="黑体" w:hAnsi="宋体" w:eastAsia="黑体"/>
          <w:b/>
          <w:snapToGrid w:val="0"/>
          <w:kern w:val="0"/>
          <w:sz w:val="32"/>
          <w:szCs w:val="32"/>
        </w:rPr>
      </w:pPr>
    </w:p>
    <w:p>
      <w:pPr>
        <w:rPr>
          <w:rFonts w:ascii="黑体" w:hAnsi="宋体" w:eastAsia="黑体"/>
          <w:b/>
          <w:snapToGrid w:val="0"/>
          <w:kern w:val="0"/>
          <w:sz w:val="32"/>
          <w:szCs w:val="32"/>
        </w:rPr>
      </w:pPr>
    </w:p>
    <w:p>
      <w:pPr>
        <w:jc w:val="center"/>
        <w:rPr>
          <w:rFonts w:ascii="黑体" w:hAnsi="宋体" w:eastAsia="黑体"/>
          <w:b/>
          <w:snapToGrid w:val="0"/>
          <w:kern w:val="0"/>
          <w:sz w:val="32"/>
          <w:szCs w:val="32"/>
        </w:rPr>
      </w:pPr>
    </w:p>
    <w:p>
      <w:pPr>
        <w:jc w:val="center"/>
        <w:rPr>
          <w:rFonts w:ascii="黑体" w:hAnsi="宋体" w:eastAsia="黑体"/>
          <w:b/>
          <w:snapToGrid w:val="0"/>
          <w:kern w:val="0"/>
          <w:sz w:val="32"/>
          <w:szCs w:val="32"/>
        </w:rPr>
      </w:pPr>
    </w:p>
    <w:p>
      <w:pPr>
        <w:jc w:val="center"/>
        <w:rPr>
          <w:rFonts w:ascii="黑体" w:hAnsi="宋体" w:eastAsia="黑体"/>
          <w:b/>
          <w:snapToGrid w:val="0"/>
          <w:kern w:val="0"/>
          <w:sz w:val="32"/>
          <w:szCs w:val="32"/>
        </w:rPr>
      </w:pPr>
    </w:p>
    <w:p>
      <w:pPr>
        <w:jc w:val="center"/>
        <w:rPr>
          <w:rFonts w:ascii="楷体_GB2312" w:eastAsia="楷体_GB2312"/>
          <w:snapToGrid w:val="0"/>
          <w:kern w:val="0"/>
          <w:sz w:val="36"/>
          <w:szCs w:val="36"/>
        </w:rPr>
      </w:pPr>
      <w:r>
        <w:rPr>
          <w:rFonts w:hint="eastAsia" w:ascii="黑体" w:hAnsi="宋体" w:eastAsia="黑体"/>
          <w:b/>
          <w:snapToGrid w:val="0"/>
          <w:kern w:val="0"/>
          <w:sz w:val="32"/>
          <w:szCs w:val="32"/>
        </w:rPr>
        <w:t>报 告 目 录</w:t>
      </w:r>
    </w:p>
    <w:p>
      <w:pPr>
        <w:pStyle w:val="30"/>
        <w:keepNext w:val="0"/>
        <w:keepLines w:val="0"/>
        <w:pageBreakBefore w:val="0"/>
        <w:widowControl w:val="0"/>
        <w:tabs>
          <w:tab w:val="right" w:leader="dot" w:pos="8458"/>
          <w:tab w:val="clear" w:pos="844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TOC \o "1-3" \h \z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_Toc9283 </w:instrText>
      </w:r>
      <w:r>
        <w:rPr>
          <w:rFonts w:hint="eastAsia" w:ascii="仿宋_GB2312" w:eastAsia="仿宋_GB2312"/>
          <w:snapToGrid w:val="0"/>
          <w:kern w:val="0"/>
          <w:szCs w:val="28"/>
        </w:rPr>
        <w:fldChar w:fldCharType="separate"/>
      </w:r>
      <w:r>
        <w:rPr>
          <w:rFonts w:hint="eastAsia" w:ascii="黑体" w:eastAsia="黑体"/>
          <w:snapToGrid w:val="0"/>
          <w:kern w:val="0"/>
          <w:szCs w:val="44"/>
        </w:rPr>
        <w:t>致委托方函</w:t>
      </w:r>
      <w:r>
        <w:tab/>
      </w:r>
      <w:r>
        <w:fldChar w:fldCharType="begin"/>
      </w:r>
      <w:r>
        <w:instrText xml:space="preserve"> PAGEREF _Toc9283 \h </w:instrText>
      </w:r>
      <w:r>
        <w:fldChar w:fldCharType="separate"/>
      </w:r>
      <w:r>
        <w:t>1</w:t>
      </w:r>
      <w:r>
        <w:fldChar w:fldCharType="end"/>
      </w:r>
      <w:r>
        <w:rPr>
          <w:rFonts w:hint="eastAsia" w:ascii="仿宋_GB2312" w:eastAsia="仿宋_GB2312"/>
          <w:snapToGrid w:val="0"/>
          <w:kern w:val="0"/>
          <w:szCs w:val="28"/>
        </w:rPr>
        <w:fldChar w:fldCharType="end"/>
      </w:r>
    </w:p>
    <w:p>
      <w:pPr>
        <w:pStyle w:val="30"/>
        <w:keepNext w:val="0"/>
        <w:keepLines w:val="0"/>
        <w:pageBreakBefore w:val="0"/>
        <w:widowControl w:val="0"/>
        <w:tabs>
          <w:tab w:val="right" w:leader="dot" w:pos="8458"/>
          <w:tab w:val="clear" w:pos="844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_Toc6277 </w:instrText>
      </w:r>
      <w:r>
        <w:rPr>
          <w:rFonts w:hint="eastAsia" w:ascii="仿宋_GB2312" w:eastAsia="仿宋_GB2312"/>
          <w:snapToGrid w:val="0"/>
          <w:kern w:val="0"/>
          <w:szCs w:val="28"/>
        </w:rPr>
        <w:fldChar w:fldCharType="separate"/>
      </w:r>
      <w:r>
        <w:rPr>
          <w:rFonts w:hint="eastAsia" w:ascii="黑体" w:eastAsia="黑体"/>
          <w:snapToGrid w:val="0"/>
          <w:kern w:val="0"/>
          <w:szCs w:val="44"/>
        </w:rPr>
        <w:t>注册房地产估价师声明</w:t>
      </w:r>
      <w:r>
        <w:tab/>
      </w:r>
      <w:r>
        <w:fldChar w:fldCharType="begin"/>
      </w:r>
      <w:r>
        <w:instrText xml:space="preserve"> PAGEREF _Toc6277 \h </w:instrText>
      </w:r>
      <w:r>
        <w:fldChar w:fldCharType="separate"/>
      </w:r>
      <w:r>
        <w:t>1</w:t>
      </w:r>
      <w:r>
        <w:fldChar w:fldCharType="end"/>
      </w:r>
      <w:r>
        <w:rPr>
          <w:rFonts w:hint="eastAsia" w:ascii="仿宋_GB2312" w:eastAsia="仿宋_GB2312"/>
          <w:snapToGrid w:val="0"/>
          <w:kern w:val="0"/>
          <w:szCs w:val="28"/>
        </w:rPr>
        <w:fldChar w:fldCharType="end"/>
      </w:r>
    </w:p>
    <w:p>
      <w:pPr>
        <w:pStyle w:val="30"/>
        <w:keepNext w:val="0"/>
        <w:keepLines w:val="0"/>
        <w:pageBreakBefore w:val="0"/>
        <w:widowControl w:val="0"/>
        <w:tabs>
          <w:tab w:val="right" w:leader="dot" w:pos="8458"/>
          <w:tab w:val="clear" w:pos="844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_Toc20014 </w:instrText>
      </w:r>
      <w:r>
        <w:rPr>
          <w:rFonts w:hint="eastAsia" w:ascii="仿宋_GB2312" w:eastAsia="仿宋_GB2312"/>
          <w:snapToGrid w:val="0"/>
          <w:kern w:val="0"/>
          <w:szCs w:val="28"/>
        </w:rPr>
        <w:fldChar w:fldCharType="separate"/>
      </w:r>
      <w:r>
        <w:rPr>
          <w:rFonts w:hint="eastAsia" w:ascii="黑体" w:hAnsi="Times New Roman" w:eastAsia="黑体" w:cs="Times New Roman"/>
          <w:snapToGrid w:val="0"/>
          <w:kern w:val="0"/>
          <w:szCs w:val="44"/>
        </w:rPr>
        <w:t>估价假设和限制条件</w:t>
      </w:r>
      <w:r>
        <w:tab/>
      </w:r>
      <w:r>
        <w:fldChar w:fldCharType="begin"/>
      </w:r>
      <w:r>
        <w:instrText xml:space="preserve"> PAGEREF _Toc20014 \h </w:instrText>
      </w:r>
      <w:r>
        <w:fldChar w:fldCharType="separate"/>
      </w:r>
      <w:r>
        <w:t>4</w:t>
      </w:r>
      <w:r>
        <w:fldChar w:fldCharType="end"/>
      </w:r>
      <w:r>
        <w:rPr>
          <w:rFonts w:hint="eastAsia" w:ascii="仿宋_GB2312" w:eastAsia="仿宋_GB2312"/>
          <w:snapToGrid w:val="0"/>
          <w:kern w:val="0"/>
          <w:szCs w:val="28"/>
        </w:rPr>
        <w:fldChar w:fldCharType="end"/>
      </w:r>
    </w:p>
    <w:p>
      <w:pPr>
        <w:pStyle w:val="30"/>
        <w:keepNext w:val="0"/>
        <w:keepLines w:val="0"/>
        <w:pageBreakBefore w:val="0"/>
        <w:widowControl w:val="0"/>
        <w:tabs>
          <w:tab w:val="right" w:leader="dot" w:pos="8458"/>
          <w:tab w:val="clear" w:pos="844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_Toc9984 </w:instrText>
      </w:r>
      <w:r>
        <w:rPr>
          <w:rFonts w:hint="eastAsia" w:ascii="仿宋_GB2312" w:eastAsia="仿宋_GB2312"/>
          <w:snapToGrid w:val="0"/>
          <w:kern w:val="0"/>
          <w:szCs w:val="28"/>
        </w:rPr>
        <w:fldChar w:fldCharType="separate"/>
      </w:r>
      <w:r>
        <w:rPr>
          <w:rFonts w:hint="eastAsia" w:ascii="黑体" w:hAnsi="Times New Roman" w:eastAsia="黑体" w:cs="Times New Roman"/>
          <w:snapToGrid w:val="0"/>
          <w:kern w:val="0"/>
          <w:szCs w:val="44"/>
        </w:rPr>
        <w:t>估价结果报告</w:t>
      </w:r>
      <w:r>
        <w:tab/>
      </w:r>
      <w:r>
        <w:fldChar w:fldCharType="begin"/>
      </w:r>
      <w:r>
        <w:instrText xml:space="preserve"> PAGEREF _Toc9984 \h </w:instrText>
      </w:r>
      <w:r>
        <w:fldChar w:fldCharType="separate"/>
      </w:r>
      <w:r>
        <w:t>8</w:t>
      </w:r>
      <w:r>
        <w:fldChar w:fldCharType="end"/>
      </w:r>
      <w:r>
        <w:rPr>
          <w:rFonts w:hint="eastAsia" w:ascii="仿宋_GB2312" w:eastAsia="仿宋_GB2312"/>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rPr>
          <w:rFonts w:hint="eastAsia" w:ascii="宋体" w:hAnsi="宋体" w:eastAsia="宋体" w:cs="宋体"/>
          <w:snapToGrid w:val="0"/>
          <w:kern w:val="0"/>
          <w:szCs w:val="28"/>
        </w:rPr>
      </w:pP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HYPERLINK \l _Toc31961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（一）估价委托人</w:t>
      </w:r>
      <w:r>
        <w:rPr>
          <w:rFonts w:hint="eastAsia" w:ascii="宋体" w:hAnsi="宋体" w:eastAsia="宋体" w:cs="宋体"/>
          <w:snapToGrid w:val="0"/>
          <w:kern w:val="0"/>
          <w:szCs w:val="28"/>
        </w:rPr>
        <w:tab/>
      </w: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PAGEREF _Toc31961 \h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8</w:t>
      </w:r>
      <w:r>
        <w:rPr>
          <w:rFonts w:hint="eastAsia" w:ascii="宋体" w:hAnsi="宋体" w:eastAsia="宋体" w:cs="宋体"/>
          <w:snapToGrid w:val="0"/>
          <w:kern w:val="0"/>
          <w:szCs w:val="28"/>
        </w:rPr>
        <w:fldChar w:fldCharType="end"/>
      </w:r>
      <w:r>
        <w:rPr>
          <w:rFonts w:hint="eastAsia" w:ascii="宋体" w:hAnsi="宋体" w:eastAsia="宋体" w:cs="宋体"/>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rPr>
          <w:rFonts w:hint="eastAsia" w:ascii="宋体" w:hAnsi="宋体" w:eastAsia="宋体" w:cs="宋体"/>
          <w:snapToGrid w:val="0"/>
          <w:kern w:val="0"/>
          <w:szCs w:val="28"/>
        </w:rPr>
      </w:pP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HYPERLINK \l _Toc25022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（二）估价机构</w:t>
      </w:r>
      <w:r>
        <w:rPr>
          <w:rFonts w:hint="eastAsia" w:ascii="宋体" w:hAnsi="宋体" w:eastAsia="宋体" w:cs="宋体"/>
          <w:snapToGrid w:val="0"/>
          <w:kern w:val="0"/>
          <w:szCs w:val="28"/>
        </w:rPr>
        <w:tab/>
      </w: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PAGEREF _Toc25022 \h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8</w:t>
      </w:r>
      <w:r>
        <w:rPr>
          <w:rFonts w:hint="eastAsia" w:ascii="宋体" w:hAnsi="宋体" w:eastAsia="宋体" w:cs="宋体"/>
          <w:snapToGrid w:val="0"/>
          <w:kern w:val="0"/>
          <w:szCs w:val="28"/>
        </w:rPr>
        <w:fldChar w:fldCharType="end"/>
      </w:r>
      <w:r>
        <w:rPr>
          <w:rFonts w:hint="eastAsia" w:ascii="宋体" w:hAnsi="宋体" w:eastAsia="宋体" w:cs="宋体"/>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rPr>
          <w:rFonts w:hint="eastAsia" w:ascii="宋体" w:hAnsi="宋体" w:eastAsia="宋体" w:cs="宋体"/>
          <w:snapToGrid w:val="0"/>
          <w:kern w:val="0"/>
          <w:szCs w:val="28"/>
        </w:rPr>
      </w:pP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HYPERLINK \l _Toc28337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（三）估价对象</w:t>
      </w:r>
      <w:r>
        <w:rPr>
          <w:rFonts w:hint="eastAsia" w:ascii="宋体" w:hAnsi="宋体" w:eastAsia="宋体" w:cs="宋体"/>
          <w:snapToGrid w:val="0"/>
          <w:kern w:val="0"/>
          <w:szCs w:val="28"/>
        </w:rPr>
        <w:tab/>
      </w: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PAGEREF _Toc28337 \h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8</w:t>
      </w:r>
      <w:r>
        <w:rPr>
          <w:rFonts w:hint="eastAsia" w:ascii="宋体" w:hAnsi="宋体" w:eastAsia="宋体" w:cs="宋体"/>
          <w:snapToGrid w:val="0"/>
          <w:kern w:val="0"/>
          <w:szCs w:val="28"/>
        </w:rPr>
        <w:fldChar w:fldCharType="end"/>
      </w:r>
      <w:r>
        <w:rPr>
          <w:rFonts w:hint="eastAsia" w:ascii="宋体" w:hAnsi="宋体" w:eastAsia="宋体" w:cs="宋体"/>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rPr>
          <w:rFonts w:hint="eastAsia" w:ascii="宋体" w:hAnsi="宋体" w:eastAsia="宋体" w:cs="宋体"/>
          <w:snapToGrid w:val="0"/>
          <w:kern w:val="0"/>
          <w:szCs w:val="28"/>
        </w:rPr>
      </w:pP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HYPERLINK \l _Toc2081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（四）估价目的</w:t>
      </w:r>
      <w:r>
        <w:rPr>
          <w:rFonts w:hint="eastAsia" w:ascii="宋体" w:hAnsi="宋体" w:eastAsia="宋体" w:cs="宋体"/>
          <w:snapToGrid w:val="0"/>
          <w:kern w:val="0"/>
          <w:szCs w:val="28"/>
        </w:rPr>
        <w:tab/>
      </w: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PAGEREF _Toc2081 \h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10</w:t>
      </w:r>
      <w:r>
        <w:rPr>
          <w:rFonts w:hint="eastAsia" w:ascii="宋体" w:hAnsi="宋体" w:eastAsia="宋体" w:cs="宋体"/>
          <w:snapToGrid w:val="0"/>
          <w:kern w:val="0"/>
          <w:szCs w:val="28"/>
        </w:rPr>
        <w:fldChar w:fldCharType="end"/>
      </w:r>
      <w:r>
        <w:rPr>
          <w:rFonts w:hint="eastAsia" w:ascii="宋体" w:hAnsi="宋体" w:eastAsia="宋体" w:cs="宋体"/>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rPr>
          <w:rFonts w:hint="eastAsia" w:ascii="宋体" w:hAnsi="宋体" w:eastAsia="宋体" w:cs="宋体"/>
          <w:snapToGrid w:val="0"/>
          <w:kern w:val="0"/>
          <w:szCs w:val="28"/>
        </w:rPr>
      </w:pP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HYPERLINK \l _Toc24940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（五）价值时点</w:t>
      </w:r>
      <w:r>
        <w:rPr>
          <w:rFonts w:hint="eastAsia" w:ascii="宋体" w:hAnsi="宋体" w:eastAsia="宋体" w:cs="宋体"/>
          <w:snapToGrid w:val="0"/>
          <w:kern w:val="0"/>
          <w:szCs w:val="28"/>
        </w:rPr>
        <w:tab/>
      </w: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PAGEREF _Toc24940 \h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10</w:t>
      </w:r>
      <w:r>
        <w:rPr>
          <w:rFonts w:hint="eastAsia" w:ascii="宋体" w:hAnsi="宋体" w:eastAsia="宋体" w:cs="宋体"/>
          <w:snapToGrid w:val="0"/>
          <w:kern w:val="0"/>
          <w:szCs w:val="28"/>
        </w:rPr>
        <w:fldChar w:fldCharType="end"/>
      </w:r>
      <w:r>
        <w:rPr>
          <w:rFonts w:hint="eastAsia" w:ascii="宋体" w:hAnsi="宋体" w:eastAsia="宋体" w:cs="宋体"/>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rPr>
          <w:rFonts w:hint="eastAsia" w:ascii="宋体" w:hAnsi="宋体" w:eastAsia="宋体" w:cs="宋体"/>
          <w:snapToGrid w:val="0"/>
          <w:kern w:val="0"/>
          <w:szCs w:val="28"/>
        </w:rPr>
      </w:pP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HYPERLINK \l _Toc29031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（六）价值定义</w:t>
      </w:r>
      <w:r>
        <w:rPr>
          <w:rFonts w:hint="eastAsia" w:ascii="宋体" w:hAnsi="宋体" w:eastAsia="宋体" w:cs="宋体"/>
          <w:snapToGrid w:val="0"/>
          <w:kern w:val="0"/>
          <w:szCs w:val="28"/>
        </w:rPr>
        <w:tab/>
      </w: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PAGEREF _Toc29031 \h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11</w:t>
      </w:r>
      <w:r>
        <w:rPr>
          <w:rFonts w:hint="eastAsia" w:ascii="宋体" w:hAnsi="宋体" w:eastAsia="宋体" w:cs="宋体"/>
          <w:snapToGrid w:val="0"/>
          <w:kern w:val="0"/>
          <w:szCs w:val="28"/>
        </w:rPr>
        <w:fldChar w:fldCharType="end"/>
      </w:r>
      <w:r>
        <w:rPr>
          <w:rFonts w:hint="eastAsia" w:ascii="宋体" w:hAnsi="宋体" w:eastAsia="宋体" w:cs="宋体"/>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rPr>
          <w:rFonts w:hint="eastAsia" w:ascii="宋体" w:hAnsi="宋体" w:eastAsia="宋体" w:cs="宋体"/>
          <w:snapToGrid w:val="0"/>
          <w:kern w:val="0"/>
          <w:szCs w:val="28"/>
        </w:rPr>
      </w:pP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HYPERLINK \l _Toc1997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（七）估价依据</w:t>
      </w:r>
      <w:r>
        <w:rPr>
          <w:rFonts w:hint="eastAsia" w:ascii="宋体" w:hAnsi="宋体" w:eastAsia="宋体" w:cs="宋体"/>
          <w:snapToGrid w:val="0"/>
          <w:kern w:val="0"/>
          <w:szCs w:val="28"/>
        </w:rPr>
        <w:tab/>
      </w: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PAGEREF _Toc1997 \h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11</w:t>
      </w:r>
      <w:r>
        <w:rPr>
          <w:rFonts w:hint="eastAsia" w:ascii="宋体" w:hAnsi="宋体" w:eastAsia="宋体" w:cs="宋体"/>
          <w:snapToGrid w:val="0"/>
          <w:kern w:val="0"/>
          <w:szCs w:val="28"/>
        </w:rPr>
        <w:fldChar w:fldCharType="end"/>
      </w:r>
      <w:r>
        <w:rPr>
          <w:rFonts w:hint="eastAsia" w:ascii="宋体" w:hAnsi="宋体" w:eastAsia="宋体" w:cs="宋体"/>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rPr>
          <w:rFonts w:hint="eastAsia" w:ascii="宋体" w:hAnsi="宋体" w:eastAsia="宋体" w:cs="宋体"/>
          <w:snapToGrid w:val="0"/>
          <w:kern w:val="0"/>
          <w:szCs w:val="28"/>
        </w:rPr>
      </w:pP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HYPERLINK \l _Toc25545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（八）估价原则</w:t>
      </w:r>
      <w:r>
        <w:rPr>
          <w:rFonts w:hint="eastAsia" w:ascii="宋体" w:hAnsi="宋体" w:eastAsia="宋体" w:cs="宋体"/>
          <w:snapToGrid w:val="0"/>
          <w:kern w:val="0"/>
          <w:szCs w:val="28"/>
        </w:rPr>
        <w:tab/>
      </w: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PAGEREF _Toc25545 \h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12</w:t>
      </w:r>
      <w:r>
        <w:rPr>
          <w:rFonts w:hint="eastAsia" w:ascii="宋体" w:hAnsi="宋体" w:eastAsia="宋体" w:cs="宋体"/>
          <w:snapToGrid w:val="0"/>
          <w:kern w:val="0"/>
          <w:szCs w:val="28"/>
        </w:rPr>
        <w:fldChar w:fldCharType="end"/>
      </w:r>
      <w:r>
        <w:rPr>
          <w:rFonts w:hint="eastAsia" w:ascii="宋体" w:hAnsi="宋体" w:eastAsia="宋体" w:cs="宋体"/>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rPr>
          <w:rFonts w:hint="eastAsia" w:ascii="宋体" w:hAnsi="宋体" w:eastAsia="宋体" w:cs="宋体"/>
          <w:snapToGrid w:val="0"/>
          <w:kern w:val="0"/>
          <w:szCs w:val="28"/>
        </w:rPr>
      </w:pP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HYPERLINK \l _Toc23490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（九）估价方法</w:t>
      </w:r>
      <w:r>
        <w:rPr>
          <w:rFonts w:hint="eastAsia" w:ascii="宋体" w:hAnsi="宋体" w:eastAsia="宋体" w:cs="宋体"/>
          <w:snapToGrid w:val="0"/>
          <w:kern w:val="0"/>
          <w:szCs w:val="28"/>
        </w:rPr>
        <w:tab/>
      </w: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PAGEREF _Toc23490 \h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15</w:t>
      </w:r>
      <w:r>
        <w:rPr>
          <w:rFonts w:hint="eastAsia" w:ascii="宋体" w:hAnsi="宋体" w:eastAsia="宋体" w:cs="宋体"/>
          <w:snapToGrid w:val="0"/>
          <w:kern w:val="0"/>
          <w:szCs w:val="28"/>
        </w:rPr>
        <w:fldChar w:fldCharType="end"/>
      </w:r>
      <w:r>
        <w:rPr>
          <w:rFonts w:hint="eastAsia" w:ascii="宋体" w:hAnsi="宋体" w:eastAsia="宋体" w:cs="宋体"/>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rPr>
          <w:rFonts w:hint="eastAsia" w:ascii="宋体" w:hAnsi="宋体" w:eastAsia="宋体" w:cs="宋体"/>
          <w:snapToGrid w:val="0"/>
          <w:kern w:val="0"/>
          <w:szCs w:val="28"/>
        </w:rPr>
      </w:pP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HYPERLINK \l _Toc21438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（十）估价结果</w:t>
      </w:r>
      <w:r>
        <w:rPr>
          <w:rFonts w:hint="eastAsia" w:ascii="宋体" w:hAnsi="宋体" w:eastAsia="宋体" w:cs="宋体"/>
          <w:snapToGrid w:val="0"/>
          <w:kern w:val="0"/>
          <w:szCs w:val="28"/>
        </w:rPr>
        <w:tab/>
      </w: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PAGEREF _Toc21438 \h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18</w:t>
      </w:r>
      <w:r>
        <w:rPr>
          <w:rFonts w:hint="eastAsia" w:ascii="宋体" w:hAnsi="宋体" w:eastAsia="宋体" w:cs="宋体"/>
          <w:snapToGrid w:val="0"/>
          <w:kern w:val="0"/>
          <w:szCs w:val="28"/>
        </w:rPr>
        <w:fldChar w:fldCharType="end"/>
      </w:r>
      <w:r>
        <w:rPr>
          <w:rFonts w:hint="eastAsia" w:ascii="宋体" w:hAnsi="宋体" w:eastAsia="宋体" w:cs="宋体"/>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rPr>
          <w:rFonts w:hint="eastAsia" w:ascii="宋体" w:hAnsi="宋体" w:eastAsia="宋体" w:cs="宋体"/>
          <w:snapToGrid w:val="0"/>
          <w:kern w:val="0"/>
          <w:szCs w:val="28"/>
        </w:rPr>
      </w:pP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HYPERLINK \l _Toc257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（十一）估价人员</w:t>
      </w:r>
      <w:r>
        <w:rPr>
          <w:rFonts w:hint="eastAsia" w:ascii="宋体" w:hAnsi="宋体" w:eastAsia="宋体" w:cs="宋体"/>
          <w:snapToGrid w:val="0"/>
          <w:kern w:val="0"/>
          <w:szCs w:val="28"/>
        </w:rPr>
        <w:tab/>
      </w: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PAGEREF _Toc257 \h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18</w:t>
      </w:r>
      <w:r>
        <w:rPr>
          <w:rFonts w:hint="eastAsia" w:ascii="宋体" w:hAnsi="宋体" w:eastAsia="宋体" w:cs="宋体"/>
          <w:snapToGrid w:val="0"/>
          <w:kern w:val="0"/>
          <w:szCs w:val="28"/>
        </w:rPr>
        <w:fldChar w:fldCharType="end"/>
      </w:r>
      <w:r>
        <w:rPr>
          <w:rFonts w:hint="eastAsia" w:ascii="宋体" w:hAnsi="宋体" w:eastAsia="宋体" w:cs="宋体"/>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rPr>
          <w:rFonts w:hint="eastAsia" w:ascii="宋体" w:hAnsi="宋体" w:eastAsia="宋体" w:cs="宋体"/>
          <w:snapToGrid w:val="0"/>
          <w:kern w:val="0"/>
          <w:szCs w:val="28"/>
        </w:rPr>
      </w:pP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HYPERLINK \l _Toc23237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（十二）实地查勘期</w:t>
      </w:r>
      <w:r>
        <w:rPr>
          <w:rFonts w:hint="eastAsia" w:ascii="宋体" w:hAnsi="宋体" w:eastAsia="宋体" w:cs="宋体"/>
          <w:snapToGrid w:val="0"/>
          <w:kern w:val="0"/>
          <w:szCs w:val="28"/>
        </w:rPr>
        <w:tab/>
      </w: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PAGEREF _Toc23237 \h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19</w:t>
      </w:r>
      <w:r>
        <w:rPr>
          <w:rFonts w:hint="eastAsia" w:ascii="宋体" w:hAnsi="宋体" w:eastAsia="宋体" w:cs="宋体"/>
          <w:snapToGrid w:val="0"/>
          <w:kern w:val="0"/>
          <w:szCs w:val="28"/>
        </w:rPr>
        <w:fldChar w:fldCharType="end"/>
      </w:r>
      <w:r>
        <w:rPr>
          <w:rFonts w:hint="eastAsia" w:ascii="宋体" w:hAnsi="宋体" w:eastAsia="宋体" w:cs="宋体"/>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rPr>
          <w:rFonts w:hint="eastAsia" w:ascii="宋体" w:hAnsi="宋体" w:eastAsia="宋体" w:cs="宋体"/>
          <w:snapToGrid w:val="0"/>
          <w:kern w:val="0"/>
          <w:szCs w:val="28"/>
        </w:rPr>
      </w:pP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HYPERLINK \l _Toc1348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（十三）估价作业日期</w:t>
      </w:r>
      <w:r>
        <w:rPr>
          <w:rFonts w:hint="eastAsia" w:ascii="宋体" w:hAnsi="宋体" w:eastAsia="宋体" w:cs="宋体"/>
          <w:snapToGrid w:val="0"/>
          <w:kern w:val="0"/>
          <w:szCs w:val="28"/>
        </w:rPr>
        <w:tab/>
      </w: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PAGEREF _Toc1348 \h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19</w:t>
      </w:r>
      <w:r>
        <w:rPr>
          <w:rFonts w:hint="eastAsia" w:ascii="宋体" w:hAnsi="宋体" w:eastAsia="宋体" w:cs="宋体"/>
          <w:snapToGrid w:val="0"/>
          <w:kern w:val="0"/>
          <w:szCs w:val="28"/>
        </w:rPr>
        <w:fldChar w:fldCharType="end"/>
      </w:r>
      <w:r>
        <w:rPr>
          <w:rFonts w:hint="eastAsia" w:ascii="宋体" w:hAnsi="宋体" w:eastAsia="宋体" w:cs="宋体"/>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rPr>
          <w:rFonts w:hint="eastAsia" w:ascii="宋体" w:hAnsi="宋体" w:eastAsia="宋体" w:cs="宋体"/>
          <w:snapToGrid w:val="0"/>
          <w:kern w:val="0"/>
          <w:szCs w:val="28"/>
        </w:rPr>
      </w:pP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HYPERLINK \l _Toc2324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（十四）估价报告应用的有效期</w:t>
      </w:r>
      <w:r>
        <w:rPr>
          <w:rFonts w:hint="eastAsia" w:ascii="宋体" w:hAnsi="宋体" w:eastAsia="宋体" w:cs="宋体"/>
          <w:snapToGrid w:val="0"/>
          <w:kern w:val="0"/>
          <w:szCs w:val="28"/>
        </w:rPr>
        <w:tab/>
      </w:r>
      <w:r>
        <w:rPr>
          <w:rFonts w:hint="eastAsia" w:ascii="宋体" w:hAnsi="宋体" w:eastAsia="宋体" w:cs="宋体"/>
          <w:snapToGrid w:val="0"/>
          <w:kern w:val="0"/>
          <w:szCs w:val="28"/>
        </w:rPr>
        <w:fldChar w:fldCharType="begin"/>
      </w:r>
      <w:r>
        <w:rPr>
          <w:rFonts w:hint="eastAsia" w:ascii="宋体" w:hAnsi="宋体" w:eastAsia="宋体" w:cs="宋体"/>
          <w:snapToGrid w:val="0"/>
          <w:kern w:val="0"/>
          <w:szCs w:val="28"/>
        </w:rPr>
        <w:instrText xml:space="preserve"> PAGEREF _Toc2324 \h </w:instrText>
      </w:r>
      <w:r>
        <w:rPr>
          <w:rFonts w:hint="eastAsia" w:ascii="宋体" w:hAnsi="宋体" w:eastAsia="宋体" w:cs="宋体"/>
          <w:snapToGrid w:val="0"/>
          <w:kern w:val="0"/>
          <w:szCs w:val="28"/>
        </w:rPr>
        <w:fldChar w:fldCharType="separate"/>
      </w:r>
      <w:r>
        <w:rPr>
          <w:rFonts w:hint="eastAsia" w:ascii="宋体" w:hAnsi="宋体" w:eastAsia="宋体" w:cs="宋体"/>
          <w:snapToGrid w:val="0"/>
          <w:kern w:val="0"/>
          <w:szCs w:val="28"/>
        </w:rPr>
        <w:t>19</w:t>
      </w:r>
      <w:r>
        <w:rPr>
          <w:rFonts w:hint="eastAsia" w:ascii="宋体" w:hAnsi="宋体" w:eastAsia="宋体" w:cs="宋体"/>
          <w:snapToGrid w:val="0"/>
          <w:kern w:val="0"/>
          <w:szCs w:val="28"/>
        </w:rPr>
        <w:fldChar w:fldCharType="end"/>
      </w:r>
      <w:r>
        <w:rPr>
          <w:rFonts w:hint="eastAsia" w:ascii="宋体" w:hAnsi="宋体" w:eastAsia="宋体" w:cs="宋体"/>
          <w:snapToGrid w:val="0"/>
          <w:kern w:val="0"/>
          <w:szCs w:val="28"/>
        </w:rPr>
        <w:fldChar w:fldCharType="end"/>
      </w:r>
    </w:p>
    <w:p>
      <w:pPr>
        <w:pStyle w:val="30"/>
        <w:keepNext w:val="0"/>
        <w:keepLines w:val="0"/>
        <w:pageBreakBefore w:val="0"/>
        <w:widowControl w:val="0"/>
        <w:tabs>
          <w:tab w:val="right" w:leader="dot" w:pos="8458"/>
          <w:tab w:val="clear" w:pos="844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_Toc13222 </w:instrText>
      </w:r>
      <w:r>
        <w:rPr>
          <w:rFonts w:hint="eastAsia" w:ascii="仿宋_GB2312" w:eastAsia="仿宋_GB2312"/>
          <w:snapToGrid w:val="0"/>
          <w:kern w:val="0"/>
          <w:szCs w:val="28"/>
        </w:rPr>
        <w:fldChar w:fldCharType="separate"/>
      </w:r>
      <w:r>
        <w:rPr>
          <w:rFonts w:hint="eastAsia" w:ascii="黑体" w:eastAsia="黑体"/>
          <w:snapToGrid w:val="0"/>
          <w:kern w:val="0"/>
          <w:szCs w:val="44"/>
        </w:rPr>
        <w:t>估价技术报告</w:t>
      </w:r>
      <w:r>
        <w:tab/>
      </w:r>
      <w:r>
        <w:fldChar w:fldCharType="begin"/>
      </w:r>
      <w:r>
        <w:instrText xml:space="preserve"> PAGEREF _Toc13222 \h </w:instrText>
      </w:r>
      <w:r>
        <w:fldChar w:fldCharType="separate"/>
      </w:r>
      <w:r>
        <w:t>20</w:t>
      </w:r>
      <w:r>
        <w:fldChar w:fldCharType="end"/>
      </w:r>
      <w:r>
        <w:rPr>
          <w:rFonts w:hint="eastAsia" w:ascii="仿宋_GB2312" w:eastAsia="仿宋_GB2312"/>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_Toc4634 </w:instrText>
      </w:r>
      <w:r>
        <w:rPr>
          <w:rFonts w:hint="eastAsia" w:ascii="仿宋_GB2312" w:eastAsia="仿宋_GB2312"/>
          <w:snapToGrid w:val="0"/>
          <w:kern w:val="0"/>
          <w:szCs w:val="28"/>
        </w:rPr>
        <w:fldChar w:fldCharType="separate"/>
      </w:r>
      <w:r>
        <w:rPr>
          <w:rFonts w:hint="eastAsia"/>
          <w:snapToGrid w:val="0"/>
          <w:kern w:val="0"/>
          <w:szCs w:val="30"/>
        </w:rPr>
        <w:t>（一）个别因素分析</w:t>
      </w:r>
      <w:r>
        <w:tab/>
      </w:r>
      <w:r>
        <w:fldChar w:fldCharType="begin"/>
      </w:r>
      <w:r>
        <w:instrText xml:space="preserve"> PAGEREF _Toc4634 \h </w:instrText>
      </w:r>
      <w:r>
        <w:fldChar w:fldCharType="separate"/>
      </w:r>
      <w:r>
        <w:t>20</w:t>
      </w:r>
      <w:r>
        <w:fldChar w:fldCharType="end"/>
      </w:r>
      <w:r>
        <w:rPr>
          <w:rFonts w:hint="eastAsia" w:ascii="仿宋_GB2312" w:eastAsia="仿宋_GB2312"/>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_Toc7092 </w:instrText>
      </w:r>
      <w:r>
        <w:rPr>
          <w:rFonts w:hint="eastAsia" w:ascii="仿宋_GB2312" w:eastAsia="仿宋_GB2312"/>
          <w:snapToGrid w:val="0"/>
          <w:kern w:val="0"/>
          <w:szCs w:val="28"/>
        </w:rPr>
        <w:fldChar w:fldCharType="separate"/>
      </w:r>
      <w:r>
        <w:rPr>
          <w:rFonts w:hint="eastAsia"/>
          <w:snapToGrid w:val="0"/>
          <w:kern w:val="0"/>
          <w:szCs w:val="30"/>
        </w:rPr>
        <w:t>（二）区域因素分析</w:t>
      </w:r>
      <w:r>
        <w:tab/>
      </w:r>
      <w:r>
        <w:fldChar w:fldCharType="begin"/>
      </w:r>
      <w:r>
        <w:instrText xml:space="preserve"> PAGEREF _Toc7092 \h </w:instrText>
      </w:r>
      <w:r>
        <w:fldChar w:fldCharType="separate"/>
      </w:r>
      <w:r>
        <w:t>20</w:t>
      </w:r>
      <w:r>
        <w:fldChar w:fldCharType="end"/>
      </w:r>
      <w:r>
        <w:rPr>
          <w:rFonts w:hint="eastAsia" w:ascii="仿宋_GB2312" w:eastAsia="仿宋_GB2312"/>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_Toc4535 </w:instrText>
      </w:r>
      <w:r>
        <w:rPr>
          <w:rFonts w:hint="eastAsia" w:ascii="仿宋_GB2312" w:eastAsia="仿宋_GB2312"/>
          <w:snapToGrid w:val="0"/>
          <w:kern w:val="0"/>
          <w:szCs w:val="28"/>
        </w:rPr>
        <w:fldChar w:fldCharType="separate"/>
      </w:r>
      <w:r>
        <w:rPr>
          <w:rFonts w:hint="eastAsia"/>
          <w:snapToGrid w:val="0"/>
          <w:kern w:val="0"/>
          <w:szCs w:val="30"/>
        </w:rPr>
        <w:t>（三） 市场背景分析</w:t>
      </w:r>
      <w:r>
        <w:tab/>
      </w:r>
      <w:r>
        <w:fldChar w:fldCharType="begin"/>
      </w:r>
      <w:r>
        <w:instrText xml:space="preserve"> PAGEREF _Toc4535 \h </w:instrText>
      </w:r>
      <w:r>
        <w:fldChar w:fldCharType="separate"/>
      </w:r>
      <w:r>
        <w:t>22</w:t>
      </w:r>
      <w:r>
        <w:fldChar w:fldCharType="end"/>
      </w:r>
      <w:r>
        <w:rPr>
          <w:rFonts w:hint="eastAsia" w:ascii="仿宋_GB2312" w:eastAsia="仿宋_GB2312"/>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_Toc12839 </w:instrText>
      </w:r>
      <w:r>
        <w:rPr>
          <w:rFonts w:hint="eastAsia" w:ascii="仿宋_GB2312" w:eastAsia="仿宋_GB2312"/>
          <w:snapToGrid w:val="0"/>
          <w:kern w:val="0"/>
          <w:szCs w:val="28"/>
        </w:rPr>
        <w:fldChar w:fldCharType="separate"/>
      </w:r>
      <w:r>
        <w:rPr>
          <w:rFonts w:hint="eastAsia"/>
          <w:snapToGrid w:val="0"/>
          <w:kern w:val="0"/>
          <w:szCs w:val="30"/>
        </w:rPr>
        <w:t>（四）最高最佳使用分析</w:t>
      </w:r>
      <w:r>
        <w:tab/>
      </w:r>
      <w:r>
        <w:fldChar w:fldCharType="begin"/>
      </w:r>
      <w:r>
        <w:instrText xml:space="preserve"> PAGEREF _Toc12839 \h </w:instrText>
      </w:r>
      <w:r>
        <w:fldChar w:fldCharType="separate"/>
      </w:r>
      <w:r>
        <w:t>24</w:t>
      </w:r>
      <w:r>
        <w:fldChar w:fldCharType="end"/>
      </w:r>
      <w:r>
        <w:rPr>
          <w:rFonts w:hint="eastAsia" w:ascii="仿宋_GB2312" w:eastAsia="仿宋_GB2312"/>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_Toc22681 </w:instrText>
      </w:r>
      <w:r>
        <w:rPr>
          <w:rFonts w:hint="eastAsia" w:ascii="仿宋_GB2312" w:eastAsia="仿宋_GB2312"/>
          <w:snapToGrid w:val="0"/>
          <w:kern w:val="0"/>
          <w:szCs w:val="28"/>
        </w:rPr>
        <w:fldChar w:fldCharType="separate"/>
      </w:r>
      <w:r>
        <w:rPr>
          <w:rFonts w:hint="eastAsia"/>
          <w:snapToGrid w:val="0"/>
          <w:kern w:val="0"/>
          <w:szCs w:val="30"/>
        </w:rPr>
        <w:t>（五）估价方法适用性分析</w:t>
      </w:r>
      <w:r>
        <w:tab/>
      </w:r>
      <w:r>
        <w:fldChar w:fldCharType="begin"/>
      </w:r>
      <w:r>
        <w:instrText xml:space="preserve"> PAGEREF _Toc22681 \h </w:instrText>
      </w:r>
      <w:r>
        <w:fldChar w:fldCharType="separate"/>
      </w:r>
      <w:r>
        <w:t>27</w:t>
      </w:r>
      <w:r>
        <w:fldChar w:fldCharType="end"/>
      </w:r>
      <w:r>
        <w:rPr>
          <w:rFonts w:hint="eastAsia" w:ascii="仿宋_GB2312" w:eastAsia="仿宋_GB2312"/>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_Toc24686 </w:instrText>
      </w:r>
      <w:r>
        <w:rPr>
          <w:rFonts w:hint="eastAsia" w:ascii="仿宋_GB2312" w:eastAsia="仿宋_GB2312"/>
          <w:snapToGrid w:val="0"/>
          <w:kern w:val="0"/>
          <w:szCs w:val="28"/>
        </w:rPr>
        <w:fldChar w:fldCharType="separate"/>
      </w:r>
      <w:r>
        <w:rPr>
          <w:rFonts w:hint="eastAsia"/>
          <w:snapToGrid w:val="0"/>
          <w:kern w:val="0"/>
          <w:szCs w:val="30"/>
        </w:rPr>
        <w:t>（六）估价测算过程</w:t>
      </w:r>
      <w:r>
        <w:tab/>
      </w:r>
      <w:r>
        <w:fldChar w:fldCharType="begin"/>
      </w:r>
      <w:r>
        <w:instrText xml:space="preserve"> PAGEREF _Toc24686 \h </w:instrText>
      </w:r>
      <w:r>
        <w:fldChar w:fldCharType="separate"/>
      </w:r>
      <w:r>
        <w:t>27</w:t>
      </w:r>
      <w:r>
        <w:fldChar w:fldCharType="end"/>
      </w:r>
      <w:r>
        <w:rPr>
          <w:rFonts w:hint="eastAsia" w:ascii="仿宋_GB2312" w:eastAsia="仿宋_GB2312"/>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_Toc24610 </w:instrText>
      </w:r>
      <w:r>
        <w:rPr>
          <w:rFonts w:hint="eastAsia" w:ascii="仿宋_GB2312" w:eastAsia="仿宋_GB2312"/>
          <w:snapToGrid w:val="0"/>
          <w:kern w:val="0"/>
          <w:szCs w:val="28"/>
        </w:rPr>
        <w:fldChar w:fldCharType="separate"/>
      </w:r>
      <w:r>
        <w:rPr>
          <w:rFonts w:hint="eastAsia"/>
          <w:snapToGrid w:val="0"/>
          <w:kern w:val="0"/>
          <w:szCs w:val="30"/>
        </w:rPr>
        <w:t>（七）评估结果</w:t>
      </w:r>
      <w:r>
        <w:tab/>
      </w:r>
      <w:r>
        <w:fldChar w:fldCharType="begin"/>
      </w:r>
      <w:r>
        <w:instrText xml:space="preserve"> PAGEREF _Toc24610 \h </w:instrText>
      </w:r>
      <w:r>
        <w:fldChar w:fldCharType="separate"/>
      </w:r>
      <w:r>
        <w:t>61</w:t>
      </w:r>
      <w:r>
        <w:fldChar w:fldCharType="end"/>
      </w:r>
      <w:r>
        <w:rPr>
          <w:rFonts w:hint="eastAsia" w:ascii="仿宋_GB2312" w:eastAsia="仿宋_GB2312"/>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_Toc16739 </w:instrText>
      </w:r>
      <w:r>
        <w:rPr>
          <w:rFonts w:hint="eastAsia" w:ascii="仿宋_GB2312" w:eastAsia="仿宋_GB2312"/>
          <w:snapToGrid w:val="0"/>
          <w:kern w:val="0"/>
          <w:szCs w:val="28"/>
        </w:rPr>
        <w:fldChar w:fldCharType="separate"/>
      </w:r>
      <w:r>
        <w:rPr>
          <w:rFonts w:hint="eastAsia"/>
          <w:snapToGrid w:val="0"/>
          <w:kern w:val="0"/>
          <w:szCs w:val="30"/>
        </w:rPr>
        <w:t>附　　件</w:t>
      </w:r>
      <w:r>
        <w:tab/>
      </w:r>
      <w:r>
        <w:fldChar w:fldCharType="begin"/>
      </w:r>
      <w:r>
        <w:instrText xml:space="preserve"> PAGEREF _Toc16739 \h </w:instrText>
      </w:r>
      <w:r>
        <w:fldChar w:fldCharType="separate"/>
      </w:r>
      <w:r>
        <w:t>62</w:t>
      </w:r>
      <w:r>
        <w:fldChar w:fldCharType="end"/>
      </w:r>
      <w:r>
        <w:rPr>
          <w:rFonts w:hint="eastAsia" w:ascii="仿宋_GB2312" w:eastAsia="仿宋_GB2312"/>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_Toc19125 </w:instrText>
      </w:r>
      <w:r>
        <w:rPr>
          <w:rFonts w:hint="eastAsia" w:ascii="仿宋_GB2312" w:eastAsia="仿宋_GB2312"/>
          <w:snapToGrid w:val="0"/>
          <w:kern w:val="0"/>
          <w:szCs w:val="28"/>
        </w:rPr>
        <w:fldChar w:fldCharType="separate"/>
      </w:r>
      <w:r>
        <w:rPr>
          <w:rFonts w:hint="eastAsia"/>
        </w:rPr>
        <w:t>（一）估价对象的地理位置示意图及现场相片</w:t>
      </w:r>
      <w:r>
        <w:tab/>
      </w:r>
      <w:r>
        <w:fldChar w:fldCharType="begin"/>
      </w:r>
      <w:r>
        <w:instrText xml:space="preserve"> PAGEREF _Toc19125 \h </w:instrText>
      </w:r>
      <w:r>
        <w:fldChar w:fldCharType="separate"/>
      </w:r>
      <w:r>
        <w:t>62</w:t>
      </w:r>
      <w:r>
        <w:fldChar w:fldCharType="end"/>
      </w:r>
      <w:r>
        <w:rPr>
          <w:rFonts w:hint="eastAsia" w:ascii="仿宋_GB2312" w:eastAsia="仿宋_GB2312"/>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_Toc31981 </w:instrText>
      </w:r>
      <w:r>
        <w:rPr>
          <w:rFonts w:hint="eastAsia" w:ascii="仿宋_GB2312" w:eastAsia="仿宋_GB2312"/>
          <w:snapToGrid w:val="0"/>
          <w:kern w:val="0"/>
          <w:szCs w:val="28"/>
        </w:rPr>
        <w:fldChar w:fldCharType="separate"/>
      </w:r>
      <w:r>
        <w:rPr>
          <w:rFonts w:hint="eastAsia"/>
        </w:rPr>
        <w:t>（二）委托方提供《</w:t>
      </w:r>
      <w:r>
        <w:rPr>
          <w:rFonts w:hint="eastAsia"/>
          <w:lang w:eastAsia="zh-CN"/>
        </w:rPr>
        <w:t>重新评估委托书</w:t>
      </w:r>
      <w:r>
        <w:rPr>
          <w:rFonts w:hint="eastAsia"/>
        </w:rPr>
        <w:t>》复印件</w:t>
      </w:r>
      <w:r>
        <w:tab/>
      </w:r>
      <w:r>
        <w:fldChar w:fldCharType="begin"/>
      </w:r>
      <w:r>
        <w:instrText xml:space="preserve"> PAGEREF _Toc31981 \h </w:instrText>
      </w:r>
      <w:r>
        <w:fldChar w:fldCharType="separate"/>
      </w:r>
      <w:r>
        <w:t>62</w:t>
      </w:r>
      <w:r>
        <w:fldChar w:fldCharType="end"/>
      </w:r>
      <w:r>
        <w:rPr>
          <w:rFonts w:hint="eastAsia" w:ascii="仿宋_GB2312" w:eastAsia="仿宋_GB2312"/>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_Toc15216 </w:instrText>
      </w:r>
      <w:r>
        <w:rPr>
          <w:rFonts w:hint="eastAsia" w:ascii="仿宋_GB2312" w:eastAsia="仿宋_GB2312"/>
          <w:snapToGrid w:val="0"/>
          <w:kern w:val="0"/>
          <w:szCs w:val="28"/>
        </w:rPr>
        <w:fldChar w:fldCharType="separate"/>
      </w:r>
      <w:r>
        <w:rPr>
          <w:rFonts w:hint="eastAsia"/>
        </w:rPr>
        <w:t>（三）委托方提供《</w:t>
      </w:r>
      <w:r>
        <w:rPr>
          <w:rFonts w:hint="eastAsia"/>
          <w:lang w:eastAsia="zh-CN"/>
        </w:rPr>
        <w:t>执行裁定书</w:t>
      </w:r>
      <w:r>
        <w:rPr>
          <w:rFonts w:hint="eastAsia"/>
        </w:rPr>
        <w:t>》复印件</w:t>
      </w:r>
      <w:r>
        <w:tab/>
      </w:r>
      <w:r>
        <w:fldChar w:fldCharType="begin"/>
      </w:r>
      <w:r>
        <w:instrText xml:space="preserve"> PAGEREF _Toc15216 \h </w:instrText>
      </w:r>
      <w:r>
        <w:fldChar w:fldCharType="separate"/>
      </w:r>
      <w:r>
        <w:t>62</w:t>
      </w:r>
      <w:r>
        <w:fldChar w:fldCharType="end"/>
      </w:r>
      <w:r>
        <w:rPr>
          <w:rFonts w:hint="eastAsia" w:ascii="仿宋_GB2312" w:eastAsia="仿宋_GB2312"/>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_Toc339 </w:instrText>
      </w:r>
      <w:r>
        <w:rPr>
          <w:rFonts w:hint="eastAsia" w:ascii="仿宋_GB2312" w:eastAsia="仿宋_GB2312"/>
          <w:snapToGrid w:val="0"/>
          <w:kern w:val="0"/>
          <w:szCs w:val="28"/>
        </w:rPr>
        <w:fldChar w:fldCharType="separate"/>
      </w:r>
      <w:r>
        <w:rPr>
          <w:rFonts w:hint="eastAsia"/>
        </w:rPr>
        <w:t>（四）相关产权证明资料</w:t>
      </w:r>
      <w:r>
        <w:tab/>
      </w:r>
      <w:r>
        <w:fldChar w:fldCharType="begin"/>
      </w:r>
      <w:r>
        <w:instrText xml:space="preserve"> PAGEREF _Toc339 \h </w:instrText>
      </w:r>
      <w:r>
        <w:fldChar w:fldCharType="separate"/>
      </w:r>
      <w:r>
        <w:t>62</w:t>
      </w:r>
      <w:r>
        <w:fldChar w:fldCharType="end"/>
      </w:r>
      <w:r>
        <w:rPr>
          <w:rFonts w:hint="eastAsia" w:ascii="仿宋_GB2312" w:eastAsia="仿宋_GB2312"/>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_Toc26770 </w:instrText>
      </w:r>
      <w:r>
        <w:rPr>
          <w:rFonts w:hint="eastAsia" w:ascii="仿宋_GB2312" w:eastAsia="仿宋_GB2312"/>
          <w:snapToGrid w:val="0"/>
          <w:kern w:val="0"/>
          <w:szCs w:val="28"/>
        </w:rPr>
        <w:fldChar w:fldCharType="separate"/>
      </w:r>
      <w:r>
        <w:rPr>
          <w:rFonts w:hint="eastAsia"/>
        </w:rPr>
        <w:t>（五）估价机构资质与工商营业执照复印件</w:t>
      </w:r>
      <w:r>
        <w:tab/>
      </w:r>
      <w:r>
        <w:fldChar w:fldCharType="begin"/>
      </w:r>
      <w:r>
        <w:instrText xml:space="preserve"> PAGEREF _Toc26770 \h </w:instrText>
      </w:r>
      <w:r>
        <w:fldChar w:fldCharType="separate"/>
      </w:r>
      <w:r>
        <w:t>62</w:t>
      </w:r>
      <w:r>
        <w:fldChar w:fldCharType="end"/>
      </w:r>
      <w:r>
        <w:rPr>
          <w:rFonts w:hint="eastAsia" w:ascii="仿宋_GB2312" w:eastAsia="仿宋_GB2312"/>
          <w:snapToGrid w:val="0"/>
          <w:kern w:val="0"/>
          <w:szCs w:val="28"/>
        </w:rPr>
        <w:fldChar w:fldCharType="end"/>
      </w:r>
    </w:p>
    <w:p>
      <w:pPr>
        <w:pStyle w:val="37"/>
        <w:keepNext w:val="0"/>
        <w:keepLines w:val="0"/>
        <w:pageBreakBefore w:val="0"/>
        <w:widowControl w:val="0"/>
        <w:tabs>
          <w:tab w:val="right" w:leader="dot" w:pos="8458"/>
        </w:tabs>
        <w:kinsoku/>
        <w:wordWrap/>
        <w:overflowPunct/>
        <w:topLinePunct w:val="0"/>
        <w:autoSpaceDE/>
        <w:autoSpaceDN/>
        <w:bidi w:val="0"/>
        <w:adjustRightInd/>
        <w:snapToGrid/>
        <w:spacing w:line="360" w:lineRule="exact"/>
        <w:textAlignment w:val="auto"/>
      </w:pPr>
      <w:r>
        <w:rPr>
          <w:rFonts w:hint="eastAsia" w:ascii="仿宋_GB2312" w:eastAsia="仿宋_GB2312"/>
          <w:snapToGrid w:val="0"/>
          <w:kern w:val="0"/>
          <w:szCs w:val="28"/>
        </w:rPr>
        <w:fldChar w:fldCharType="begin"/>
      </w:r>
      <w:r>
        <w:rPr>
          <w:rFonts w:hint="eastAsia" w:ascii="仿宋_GB2312" w:eastAsia="仿宋_GB2312"/>
          <w:snapToGrid w:val="0"/>
          <w:kern w:val="0"/>
          <w:szCs w:val="28"/>
        </w:rPr>
        <w:instrText xml:space="preserve"> HYPERLINK \l _Toc4240 </w:instrText>
      </w:r>
      <w:r>
        <w:rPr>
          <w:rFonts w:hint="eastAsia" w:ascii="仿宋_GB2312" w:eastAsia="仿宋_GB2312"/>
          <w:snapToGrid w:val="0"/>
          <w:kern w:val="0"/>
          <w:szCs w:val="28"/>
        </w:rPr>
        <w:fldChar w:fldCharType="separate"/>
      </w:r>
      <w:r>
        <w:rPr>
          <w:rFonts w:hint="eastAsia"/>
        </w:rPr>
        <w:t>（六）注册房地产估价师注册证书复印件</w:t>
      </w:r>
      <w:r>
        <w:tab/>
      </w:r>
      <w:r>
        <w:fldChar w:fldCharType="begin"/>
      </w:r>
      <w:r>
        <w:instrText xml:space="preserve"> PAGEREF _Toc4240 \h </w:instrText>
      </w:r>
      <w:r>
        <w:fldChar w:fldCharType="separate"/>
      </w:r>
      <w:r>
        <w:t>62</w:t>
      </w:r>
      <w:r>
        <w:fldChar w:fldCharType="end"/>
      </w:r>
      <w:r>
        <w:rPr>
          <w:rFonts w:hint="eastAsia" w:ascii="仿宋_GB2312" w:eastAsia="仿宋_GB2312"/>
          <w:snapToGrid w:val="0"/>
          <w:kern w:val="0"/>
          <w:szCs w:val="28"/>
        </w:rPr>
        <w:fldChar w:fldCharType="end"/>
      </w:r>
    </w:p>
    <w:p>
      <w:pPr>
        <w:keepNext w:val="0"/>
        <w:keepLines w:val="0"/>
        <w:pageBreakBefore w:val="0"/>
        <w:widowControl w:val="0"/>
        <w:tabs>
          <w:tab w:val="right" w:leader="dot" w:pos="8174"/>
        </w:tabs>
        <w:kinsoku/>
        <w:wordWrap/>
        <w:overflowPunct/>
        <w:topLinePunct w:val="0"/>
        <w:autoSpaceDE/>
        <w:autoSpaceDN/>
        <w:bidi w:val="0"/>
        <w:adjustRightInd/>
        <w:snapToGrid/>
        <w:spacing w:line="360" w:lineRule="exact"/>
        <w:jc w:val="center"/>
        <w:textAlignment w:val="auto"/>
        <w:rPr>
          <w:rFonts w:eastAsia="黑体"/>
          <w:snapToGrid w:val="0"/>
          <w:kern w:val="0"/>
          <w:sz w:val="24"/>
        </w:rPr>
        <w:sectPr>
          <w:pgSz w:w="11907" w:h="16840"/>
          <w:pgMar w:top="426" w:right="1723" w:bottom="568" w:left="1726" w:header="680" w:footer="794" w:gutter="284"/>
          <w:pgBorders>
            <w:top w:val="none" w:sz="0" w:space="0"/>
            <w:left w:val="none" w:sz="0" w:space="0"/>
            <w:bottom w:val="none" w:sz="0" w:space="0"/>
            <w:right w:val="none" w:sz="0" w:space="0"/>
          </w:pgBorders>
          <w:cols w:space="720" w:num="1"/>
          <w:docGrid w:type="lines" w:linePitch="479" w:charSpace="11986"/>
        </w:sectPr>
      </w:pPr>
      <w:r>
        <w:rPr>
          <w:rFonts w:hint="eastAsia" w:ascii="仿宋_GB2312" w:eastAsia="仿宋_GB2312"/>
          <w:snapToGrid w:val="0"/>
          <w:kern w:val="0"/>
          <w:szCs w:val="28"/>
        </w:rPr>
        <w:fldChar w:fldCharType="end"/>
      </w:r>
    </w:p>
    <w:p>
      <w:pPr>
        <w:pStyle w:val="3"/>
        <w:spacing w:before="120" w:after="240" w:line="380" w:lineRule="exact"/>
        <w:rPr>
          <w:rFonts w:ascii="黑体" w:eastAsia="黑体"/>
          <w:snapToGrid w:val="0"/>
          <w:kern w:val="0"/>
          <w:sz w:val="44"/>
          <w:szCs w:val="44"/>
        </w:rPr>
      </w:pPr>
      <w:bookmarkStart w:id="0" w:name="_Toc9283"/>
      <w:r>
        <w:rPr>
          <w:rFonts w:hint="eastAsia" w:ascii="黑体" w:eastAsia="黑体"/>
          <w:snapToGrid w:val="0"/>
          <w:kern w:val="0"/>
          <w:sz w:val="44"/>
          <w:szCs w:val="44"/>
        </w:rPr>
        <w:t>致委托方函</w:t>
      </w:r>
      <w:bookmarkEnd w:id="0"/>
    </w:p>
    <w:p>
      <w:pPr>
        <w:pStyle w:val="35"/>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ascii="仿宋_GB2312" w:hAnsi="仿宋" w:eastAsia="仿宋_GB2312" w:cs="仿宋"/>
          <w:snapToGrid w:val="0"/>
          <w:sz w:val="28"/>
          <w:szCs w:val="28"/>
        </w:rPr>
      </w:pPr>
      <w:bookmarkStart w:id="1" w:name="_Toc23414"/>
      <w:r>
        <w:rPr>
          <w:rFonts w:hint="eastAsia" w:ascii="仿宋_GB2312" w:hAnsi="仿宋" w:eastAsia="仿宋_GB2312" w:cs="仿宋"/>
          <w:snapToGrid w:val="0"/>
          <w:sz w:val="28"/>
          <w:szCs w:val="28"/>
          <w:lang w:eastAsia="zh-CN"/>
        </w:rPr>
        <w:t>汕头市中级人民法院</w:t>
      </w:r>
      <w:r>
        <w:rPr>
          <w:rFonts w:hint="eastAsia" w:ascii="仿宋_GB2312" w:hAnsi="仿宋" w:eastAsia="仿宋_GB2312" w:cs="仿宋"/>
          <w:snapToGrid w:val="0"/>
          <w:sz w:val="28"/>
          <w:szCs w:val="28"/>
        </w:rPr>
        <w:t>：</w:t>
      </w:r>
      <w:bookmarkEnd w:id="1"/>
    </w:p>
    <w:p>
      <w:pPr>
        <w:pStyle w:val="3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仿宋_GB2312" w:eastAsia="仿宋_GB2312"/>
          <w:snapToGrid w:val="0"/>
          <w:sz w:val="28"/>
          <w:szCs w:val="28"/>
        </w:rPr>
      </w:pPr>
      <w:r>
        <w:rPr>
          <w:rFonts w:hint="eastAsia" w:ascii="仿宋_GB2312" w:eastAsia="仿宋_GB2312"/>
          <w:snapToGrid w:val="0"/>
          <w:sz w:val="28"/>
          <w:szCs w:val="28"/>
        </w:rPr>
        <w:t>根据贵院提供的《</w:t>
      </w:r>
      <w:r>
        <w:rPr>
          <w:rFonts w:hint="eastAsia" w:ascii="仿宋_GB2312" w:eastAsia="仿宋_GB2312"/>
          <w:snapToGrid w:val="0"/>
          <w:sz w:val="28"/>
          <w:szCs w:val="28"/>
          <w:lang w:eastAsia="zh-CN"/>
        </w:rPr>
        <w:t>重新评估委托书</w:t>
      </w:r>
      <w:r>
        <w:rPr>
          <w:rFonts w:hint="eastAsia" w:ascii="仿宋_GB2312" w:eastAsia="仿宋_GB2312"/>
          <w:snapToGrid w:val="0"/>
          <w:sz w:val="28"/>
          <w:szCs w:val="28"/>
        </w:rPr>
        <w:t>》（</w:t>
      </w:r>
      <w:r>
        <w:rPr>
          <w:rFonts w:hint="eastAsia" w:ascii="仿宋_GB2312" w:eastAsia="仿宋_GB2312"/>
          <w:snapToGrid w:val="0"/>
          <w:sz w:val="28"/>
          <w:szCs w:val="28"/>
          <w:lang w:eastAsia="zh-CN"/>
        </w:rPr>
        <w:t>(2024)汕中法技鉴字第1号</w:t>
      </w:r>
      <w:r>
        <w:rPr>
          <w:rFonts w:hint="eastAsia" w:ascii="仿宋_GB2312" w:eastAsia="仿宋_GB2312"/>
          <w:snapToGrid w:val="0"/>
          <w:sz w:val="28"/>
          <w:szCs w:val="28"/>
        </w:rPr>
        <w:t>），本次价值时点设定为</w:t>
      </w:r>
      <w:r>
        <w:rPr>
          <w:rFonts w:hint="eastAsia" w:ascii="仿宋_GB2312" w:eastAsia="仿宋_GB2312"/>
          <w:snapToGrid w:val="0"/>
          <w:sz w:val="28"/>
          <w:szCs w:val="28"/>
          <w:lang w:eastAsia="zh-CN"/>
        </w:rPr>
        <w:t>二〇二四年二月一日</w:t>
      </w:r>
      <w:r>
        <w:rPr>
          <w:rFonts w:hint="eastAsia" w:ascii="仿宋_GB2312" w:eastAsia="仿宋_GB2312"/>
          <w:snapToGrid w:val="0"/>
          <w:sz w:val="28"/>
          <w:szCs w:val="28"/>
        </w:rPr>
        <w:t>；估价目的是为</w:t>
      </w:r>
      <w:r>
        <w:rPr>
          <w:rFonts w:hint="eastAsia" w:ascii="仿宋_GB2312" w:hAnsi="仿宋" w:eastAsia="仿宋_GB2312" w:cs="仿宋"/>
          <w:snapToGrid w:val="0"/>
          <w:sz w:val="28"/>
          <w:szCs w:val="28"/>
        </w:rPr>
        <w:t>贵院进行司法处置提供价值参考</w:t>
      </w:r>
      <w:r>
        <w:rPr>
          <w:rFonts w:hint="eastAsia" w:ascii="仿宋_GB2312" w:eastAsia="仿宋_GB2312"/>
          <w:snapToGrid w:val="0"/>
          <w:sz w:val="28"/>
          <w:szCs w:val="28"/>
        </w:rPr>
        <w:t>；报告应用的有效期自完成并提交估价报告之日起原则上规定为一年（自</w:t>
      </w:r>
      <w:r>
        <w:rPr>
          <w:rFonts w:hint="eastAsia" w:ascii="仿宋_GB2312" w:eastAsia="仿宋_GB2312"/>
          <w:snapToGrid w:val="0"/>
          <w:sz w:val="28"/>
          <w:szCs w:val="28"/>
          <w:lang w:eastAsia="zh-CN"/>
        </w:rPr>
        <w:t>二〇二四年三月二十九日</w:t>
      </w:r>
      <w:r>
        <w:rPr>
          <w:rFonts w:hint="eastAsia" w:ascii="仿宋_GB2312" w:eastAsia="仿宋_GB2312"/>
          <w:snapToGrid w:val="0"/>
          <w:sz w:val="28"/>
          <w:szCs w:val="28"/>
        </w:rPr>
        <w:t>至</w:t>
      </w:r>
      <w:r>
        <w:rPr>
          <w:rFonts w:hint="eastAsia" w:ascii="仿宋_GB2312" w:eastAsia="仿宋_GB2312"/>
          <w:snapToGrid w:val="0"/>
          <w:sz w:val="28"/>
          <w:szCs w:val="28"/>
          <w:lang w:eastAsia="zh-CN"/>
        </w:rPr>
        <w:t>二〇二五年三月二十八日</w:t>
      </w:r>
      <w:r>
        <w:rPr>
          <w:rFonts w:hint="eastAsia" w:ascii="仿宋_GB2312" w:eastAsia="仿宋_GB2312"/>
          <w:snapToGrid w:val="0"/>
          <w:sz w:val="28"/>
          <w:szCs w:val="28"/>
        </w:rPr>
        <w:t>止），若房地产市场有较大波动或超过一年或房地产状况发生变化，需重新进行评估。</w:t>
      </w:r>
    </w:p>
    <w:p>
      <w:pPr>
        <w:pStyle w:val="35"/>
        <w:keepNext w:val="0"/>
        <w:keepLines w:val="0"/>
        <w:pageBreakBefore w:val="0"/>
        <w:widowControl w:val="0"/>
        <w:kinsoku/>
        <w:wordWrap/>
        <w:overflowPunct/>
        <w:topLinePunct w:val="0"/>
        <w:autoSpaceDE/>
        <w:autoSpaceDN/>
        <w:bidi w:val="0"/>
        <w:adjustRightInd w:val="0"/>
        <w:snapToGrid w:val="0"/>
        <w:spacing w:line="360" w:lineRule="auto"/>
        <w:ind w:firstLine="420" w:firstLineChars="150"/>
        <w:textAlignment w:val="auto"/>
        <w:rPr>
          <w:rFonts w:ascii="仿宋_GB2312" w:hAnsi="Arial" w:eastAsia="仿宋_GB2312"/>
          <w:b/>
          <w:snapToGrid w:val="0"/>
          <w:sz w:val="28"/>
        </w:rPr>
      </w:pPr>
      <w:r>
        <w:rPr>
          <w:rFonts w:hint="eastAsia" w:ascii="仿宋_GB2312" w:eastAsia="仿宋_GB2312"/>
          <w:snapToGrid w:val="0"/>
          <w:sz w:val="28"/>
          <w:szCs w:val="28"/>
        </w:rPr>
        <w:t>本着独立、客观、公正、合法的原则，估价人员在进行实地查勘、广泛收集有关市场信息和估价对象信息的基础上，全面分析了影响估价对象价值的各项有利和不利因素，根据国家有关房地产估价的法律法规和估价目的，按照科学的估价程序，</w:t>
      </w:r>
      <w:r>
        <w:rPr>
          <w:rFonts w:hint="eastAsia" w:ascii="仿宋_GB2312" w:eastAsia="仿宋_GB2312"/>
          <w:snapToGrid w:val="0"/>
          <w:sz w:val="28"/>
          <w:szCs w:val="28"/>
          <w:highlight w:val="none"/>
        </w:rPr>
        <w:t>运用</w:t>
      </w:r>
      <w:r>
        <w:rPr>
          <w:rFonts w:hint="eastAsia" w:ascii="仿宋_GB2312" w:eastAsia="仿宋_GB2312"/>
          <w:snapToGrid w:val="0"/>
          <w:sz w:val="28"/>
          <w:szCs w:val="28"/>
          <w:highlight w:val="none"/>
          <w:lang w:eastAsia="zh-CN"/>
        </w:rPr>
        <w:t>收益法、比较法</w:t>
      </w:r>
      <w:r>
        <w:rPr>
          <w:rFonts w:hint="eastAsia" w:ascii="仿宋_GB2312" w:eastAsia="仿宋_GB2312"/>
          <w:snapToGrid w:val="0"/>
          <w:sz w:val="28"/>
          <w:szCs w:val="28"/>
          <w:highlight w:val="none"/>
        </w:rPr>
        <w:t>对估价对</w:t>
      </w:r>
      <w:r>
        <w:rPr>
          <w:rFonts w:hint="eastAsia" w:ascii="仿宋_GB2312" w:eastAsia="仿宋_GB2312"/>
          <w:snapToGrid w:val="0"/>
          <w:sz w:val="28"/>
          <w:szCs w:val="28"/>
        </w:rPr>
        <w:t>象进行价值测算，确定估价对象（总建筑面积为</w:t>
      </w:r>
      <w:r>
        <w:rPr>
          <w:rFonts w:hint="eastAsia" w:ascii="仿宋_GB2312" w:eastAsia="仿宋_GB2312"/>
          <w:snapToGrid w:val="0"/>
          <w:sz w:val="28"/>
          <w:szCs w:val="28"/>
          <w:lang w:eastAsia="zh-CN"/>
        </w:rPr>
        <w:t>3563.7</w:t>
      </w:r>
      <w:r>
        <w:rPr>
          <w:rFonts w:hint="eastAsia" w:ascii="仿宋_GB2312" w:eastAsia="仿宋_GB2312"/>
          <w:snapToGrid w:val="0"/>
          <w:sz w:val="28"/>
          <w:szCs w:val="28"/>
        </w:rPr>
        <w:t>平方米）于价值时点</w:t>
      </w:r>
      <w:r>
        <w:rPr>
          <w:rFonts w:hint="eastAsia" w:ascii="仿宋_GB2312" w:eastAsia="仿宋_GB2312"/>
          <w:snapToGrid w:val="0"/>
          <w:sz w:val="28"/>
          <w:szCs w:val="28"/>
          <w:lang w:eastAsia="zh-CN"/>
        </w:rPr>
        <w:t>2024年2月1日</w:t>
      </w:r>
      <w:r>
        <w:rPr>
          <w:rFonts w:hint="eastAsia" w:ascii="仿宋_GB2312" w:eastAsia="仿宋_GB2312"/>
          <w:snapToGrid w:val="0"/>
          <w:sz w:val="28"/>
          <w:szCs w:val="28"/>
        </w:rPr>
        <w:t>的市场价格为</w:t>
      </w:r>
      <w:r>
        <w:rPr>
          <w:rFonts w:hint="eastAsia" w:ascii="仿宋_GB2312" w:eastAsia="仿宋_GB2312"/>
          <w:b/>
          <w:bCs/>
          <w:snapToGrid w:val="0"/>
          <w:sz w:val="28"/>
          <w:szCs w:val="28"/>
          <w:lang w:eastAsia="zh-CN"/>
        </w:rPr>
        <w:t>583.29</w:t>
      </w:r>
      <w:r>
        <w:rPr>
          <w:rFonts w:hint="eastAsia" w:ascii="仿宋_GB2312" w:eastAsia="仿宋_GB2312"/>
          <w:b/>
          <w:bCs/>
          <w:snapToGrid w:val="0"/>
          <w:sz w:val="28"/>
          <w:szCs w:val="28"/>
        </w:rPr>
        <w:t>万元</w:t>
      </w:r>
      <w:r>
        <w:rPr>
          <w:rFonts w:hint="eastAsia" w:ascii="仿宋_GB2312" w:eastAsia="仿宋_GB2312"/>
          <w:snapToGrid w:val="0"/>
          <w:sz w:val="28"/>
          <w:szCs w:val="28"/>
        </w:rPr>
        <w:t>人民币，大写人民币</w:t>
      </w:r>
      <w:r>
        <w:rPr>
          <w:rFonts w:hint="eastAsia" w:ascii="仿宋_GB2312" w:eastAsia="仿宋_GB2312"/>
          <w:b/>
          <w:snapToGrid w:val="0"/>
          <w:sz w:val="28"/>
          <w:szCs w:val="28"/>
          <w:lang w:eastAsia="zh-CN"/>
        </w:rPr>
        <w:t>伍佰捌拾叁万贰仟玖佰</w:t>
      </w:r>
      <w:r>
        <w:rPr>
          <w:rFonts w:hint="eastAsia" w:ascii="仿宋_GB2312" w:eastAsia="仿宋_GB2312"/>
          <w:snapToGrid w:val="0"/>
          <w:sz w:val="28"/>
          <w:szCs w:val="28"/>
        </w:rPr>
        <w:t>元整。估价结果详见《估价结果明细表》。</w:t>
      </w:r>
    </w:p>
    <w:p>
      <w:pPr>
        <w:adjustRightInd w:val="0"/>
        <w:snapToGrid w:val="0"/>
        <w:spacing w:line="360" w:lineRule="auto"/>
        <w:jc w:val="center"/>
        <w:rPr>
          <w:rFonts w:ascii="黑体" w:hAnsi="黑体" w:eastAsia="黑体"/>
          <w:kern w:val="0"/>
          <w:sz w:val="28"/>
          <w:szCs w:val="28"/>
        </w:rPr>
      </w:pPr>
      <w:r>
        <w:rPr>
          <w:rFonts w:hint="eastAsia" w:ascii="仿宋_GB2312" w:hAnsi="Arial" w:eastAsia="仿宋_GB2312"/>
          <w:b/>
          <w:snapToGrid w:val="0"/>
          <w:sz w:val="28"/>
        </w:rPr>
        <w:t>估价结果明细表</w:t>
      </w:r>
    </w:p>
    <w:tbl>
      <w:tblPr>
        <w:tblStyle w:val="45"/>
        <w:tblW w:w="4971" w:type="pct"/>
        <w:tblInd w:w="0" w:type="dxa"/>
        <w:tblLayout w:type="autofit"/>
        <w:tblCellMar>
          <w:top w:w="0" w:type="dxa"/>
          <w:left w:w="108" w:type="dxa"/>
          <w:bottom w:w="0" w:type="dxa"/>
          <w:right w:w="108" w:type="dxa"/>
        </w:tblCellMar>
      </w:tblPr>
      <w:tblGrid>
        <w:gridCol w:w="1512"/>
        <w:gridCol w:w="2277"/>
        <w:gridCol w:w="1676"/>
        <w:gridCol w:w="1254"/>
        <w:gridCol w:w="1068"/>
        <w:gridCol w:w="1147"/>
        <w:gridCol w:w="971"/>
      </w:tblGrid>
      <w:tr>
        <w:tblPrEx>
          <w:tblCellMar>
            <w:top w:w="0" w:type="dxa"/>
            <w:left w:w="108" w:type="dxa"/>
            <w:bottom w:w="0" w:type="dxa"/>
            <w:right w:w="108" w:type="dxa"/>
          </w:tblCellMar>
        </w:tblPrEx>
        <w:trPr>
          <w:trHeight w:val="275" w:hRule="atLeast"/>
        </w:trPr>
        <w:tc>
          <w:tcPr>
            <w:tcW w:w="76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000000"/>
                <w:sz w:val="20"/>
              </w:rPr>
            </w:pPr>
            <w:r>
              <w:rPr>
                <w:rFonts w:hint="eastAsia" w:ascii="仿宋" w:hAnsi="仿宋" w:eastAsia="仿宋" w:cs="仿宋"/>
                <w:b/>
                <w:bCs/>
                <w:color w:val="000000"/>
                <w:kern w:val="0"/>
                <w:sz w:val="20"/>
                <w:lang w:bidi="ar"/>
              </w:rPr>
              <w:t>权证号</w:t>
            </w:r>
          </w:p>
        </w:tc>
        <w:tc>
          <w:tcPr>
            <w:tcW w:w="1149"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000000"/>
                <w:sz w:val="20"/>
              </w:rPr>
            </w:pPr>
            <w:r>
              <w:rPr>
                <w:rFonts w:hint="eastAsia" w:ascii="仿宋" w:hAnsi="仿宋" w:eastAsia="仿宋" w:cs="仿宋"/>
                <w:b/>
                <w:bCs/>
                <w:color w:val="000000"/>
                <w:kern w:val="0"/>
                <w:sz w:val="20"/>
                <w:lang w:bidi="ar"/>
              </w:rPr>
              <w:t>坐落</w:t>
            </w:r>
          </w:p>
        </w:tc>
        <w:tc>
          <w:tcPr>
            <w:tcW w:w="8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000000"/>
                <w:sz w:val="20"/>
              </w:rPr>
            </w:pPr>
            <w:r>
              <w:rPr>
                <w:rFonts w:hint="eastAsia" w:ascii="仿宋" w:hAnsi="仿宋" w:eastAsia="仿宋" w:cs="仿宋"/>
                <w:b/>
                <w:bCs/>
                <w:color w:val="000000"/>
                <w:kern w:val="0"/>
                <w:sz w:val="20"/>
                <w:lang w:bidi="ar"/>
              </w:rPr>
              <w:t>权属人</w:t>
            </w:r>
          </w:p>
        </w:tc>
        <w:tc>
          <w:tcPr>
            <w:tcW w:w="63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000000"/>
                <w:sz w:val="20"/>
              </w:rPr>
            </w:pPr>
            <w:r>
              <w:rPr>
                <w:rFonts w:hint="eastAsia" w:ascii="仿宋" w:hAnsi="仿宋" w:eastAsia="仿宋" w:cs="仿宋"/>
                <w:b/>
                <w:bCs/>
                <w:color w:val="000000"/>
                <w:kern w:val="0"/>
                <w:sz w:val="20"/>
                <w:lang w:bidi="ar"/>
              </w:rPr>
              <w:t>结构</w:t>
            </w:r>
          </w:p>
        </w:tc>
        <w:tc>
          <w:tcPr>
            <w:tcW w:w="539"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000000"/>
                <w:sz w:val="20"/>
              </w:rPr>
            </w:pPr>
            <w:r>
              <w:rPr>
                <w:rFonts w:hint="eastAsia" w:ascii="仿宋" w:hAnsi="仿宋" w:eastAsia="仿宋" w:cs="仿宋"/>
                <w:b/>
                <w:bCs/>
                <w:color w:val="000000"/>
                <w:kern w:val="0"/>
                <w:sz w:val="20"/>
                <w:lang w:bidi="ar"/>
              </w:rPr>
              <w:t>建筑面积       （㎡）</w:t>
            </w:r>
          </w:p>
        </w:tc>
        <w:tc>
          <w:tcPr>
            <w:tcW w:w="579"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000000"/>
                <w:sz w:val="20"/>
              </w:rPr>
            </w:pPr>
            <w:r>
              <w:rPr>
                <w:rFonts w:hint="eastAsia" w:ascii="仿宋" w:hAnsi="仿宋" w:eastAsia="仿宋" w:cs="仿宋"/>
                <w:b/>
                <w:bCs/>
                <w:color w:val="000000"/>
                <w:kern w:val="0"/>
                <w:sz w:val="20"/>
                <w:lang w:bidi="ar"/>
              </w:rPr>
              <w:t>单价        （元/㎡）</w:t>
            </w:r>
          </w:p>
        </w:tc>
        <w:tc>
          <w:tcPr>
            <w:tcW w:w="4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000000"/>
                <w:sz w:val="20"/>
              </w:rPr>
            </w:pPr>
            <w:r>
              <w:rPr>
                <w:rFonts w:hint="eastAsia" w:ascii="仿宋" w:hAnsi="仿宋" w:eastAsia="仿宋" w:cs="仿宋"/>
                <w:b/>
                <w:bCs/>
                <w:color w:val="000000"/>
                <w:kern w:val="0"/>
                <w:sz w:val="20"/>
                <w:lang w:bidi="ar"/>
              </w:rPr>
              <w:t>总估值      （万元）</w:t>
            </w:r>
          </w:p>
        </w:tc>
      </w:tr>
      <w:tr>
        <w:tblPrEx>
          <w:tblCellMar>
            <w:top w:w="0" w:type="dxa"/>
            <w:left w:w="108" w:type="dxa"/>
            <w:bottom w:w="0" w:type="dxa"/>
            <w:right w:w="108" w:type="dxa"/>
          </w:tblCellMar>
        </w:tblPrEx>
        <w:trPr>
          <w:trHeight w:val="430" w:hRule="atLeast"/>
        </w:trPr>
        <w:tc>
          <w:tcPr>
            <w:tcW w:w="763" w:type="pct"/>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0"/>
                <w:lang w:eastAsia="zh-CN" w:bidi="ar"/>
              </w:rPr>
            </w:pPr>
            <w:r>
              <w:rPr>
                <w:rFonts w:hint="eastAsia" w:ascii="仿宋" w:hAnsi="仿宋" w:eastAsia="仿宋" w:cs="仿宋"/>
                <w:color w:val="000000"/>
                <w:kern w:val="0"/>
                <w:sz w:val="20"/>
                <w:lang w:eastAsia="zh-CN" w:bidi="ar"/>
              </w:rPr>
              <w:t>粤房字第0944739号</w:t>
            </w:r>
          </w:p>
        </w:tc>
        <w:tc>
          <w:tcPr>
            <w:tcW w:w="1149" w:type="pct"/>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0"/>
                <w:lang w:eastAsia="zh-CN" w:bidi="ar"/>
              </w:rPr>
            </w:pPr>
            <w:r>
              <w:rPr>
                <w:rFonts w:hint="eastAsia" w:ascii="仿宋" w:hAnsi="仿宋" w:eastAsia="仿宋" w:cs="仿宋"/>
                <w:color w:val="000000"/>
                <w:kern w:val="0"/>
                <w:sz w:val="20"/>
                <w:lang w:eastAsia="zh-CN" w:bidi="ar"/>
              </w:rPr>
              <w:t>揭阳市惠来县惠城镇葵阳对外工业区家用电器厂</w:t>
            </w:r>
          </w:p>
        </w:tc>
        <w:tc>
          <w:tcPr>
            <w:tcW w:w="846" w:type="pct"/>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0"/>
                <w:lang w:eastAsia="zh-CN" w:bidi="ar"/>
              </w:rPr>
            </w:pPr>
            <w:r>
              <w:rPr>
                <w:rFonts w:hint="eastAsia" w:ascii="仿宋" w:hAnsi="仿宋" w:eastAsia="仿宋" w:cs="仿宋"/>
                <w:color w:val="000000"/>
                <w:kern w:val="0"/>
                <w:sz w:val="20"/>
                <w:lang w:eastAsia="zh-CN" w:bidi="ar"/>
              </w:rPr>
              <w:t>惠来县进出口贸易公司</w:t>
            </w:r>
          </w:p>
        </w:tc>
        <w:tc>
          <w:tcPr>
            <w:tcW w:w="631" w:type="pct"/>
            <w:vMerge w:val="restart"/>
            <w:tcBorders>
              <w:top w:val="single" w:color="000000" w:sz="4" w:space="0"/>
              <w:left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0"/>
                <w:lang w:bidi="ar"/>
              </w:rPr>
            </w:pPr>
            <w:r>
              <w:rPr>
                <w:rFonts w:hint="eastAsia" w:ascii="仿宋" w:hAnsi="仿宋" w:eastAsia="仿宋" w:cs="仿宋"/>
                <w:color w:val="000000"/>
                <w:kern w:val="0"/>
                <w:sz w:val="20"/>
                <w:lang w:bidi="ar"/>
              </w:rPr>
              <w:t>钢筋混凝土</w:t>
            </w:r>
          </w:p>
        </w:tc>
        <w:tc>
          <w:tcPr>
            <w:tcW w:w="10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1953.7</w:t>
            </w:r>
          </w:p>
        </w:tc>
        <w:tc>
          <w:tcPr>
            <w:tcW w:w="114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 xml:space="preserve">1700.00 </w:t>
            </w:r>
          </w:p>
        </w:tc>
        <w:tc>
          <w:tcPr>
            <w:tcW w:w="9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 xml:space="preserve">332.13 </w:t>
            </w:r>
          </w:p>
        </w:tc>
      </w:tr>
      <w:tr>
        <w:tblPrEx>
          <w:tblCellMar>
            <w:top w:w="0" w:type="dxa"/>
            <w:left w:w="108" w:type="dxa"/>
            <w:bottom w:w="0" w:type="dxa"/>
            <w:right w:w="108" w:type="dxa"/>
          </w:tblCellMar>
        </w:tblPrEx>
        <w:trPr>
          <w:trHeight w:val="430" w:hRule="atLeast"/>
        </w:trPr>
        <w:tc>
          <w:tcPr>
            <w:tcW w:w="763" w:type="pct"/>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0"/>
                <w:lang w:eastAsia="zh-CN" w:bidi="ar"/>
              </w:rPr>
            </w:pPr>
          </w:p>
        </w:tc>
        <w:tc>
          <w:tcPr>
            <w:tcW w:w="1149" w:type="pct"/>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0"/>
                <w:lang w:eastAsia="zh-CN" w:bidi="ar"/>
              </w:rPr>
            </w:pPr>
          </w:p>
        </w:tc>
        <w:tc>
          <w:tcPr>
            <w:tcW w:w="846" w:type="pct"/>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0"/>
                <w:lang w:eastAsia="zh-CN" w:bidi="ar"/>
              </w:rPr>
            </w:pPr>
          </w:p>
        </w:tc>
        <w:tc>
          <w:tcPr>
            <w:tcW w:w="631" w:type="pct"/>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0"/>
                <w:lang w:bidi="ar"/>
              </w:rPr>
            </w:pPr>
          </w:p>
        </w:tc>
        <w:tc>
          <w:tcPr>
            <w:tcW w:w="10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1610</w:t>
            </w:r>
          </w:p>
        </w:tc>
        <w:tc>
          <w:tcPr>
            <w:tcW w:w="114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 xml:space="preserve">1560.00 </w:t>
            </w:r>
          </w:p>
        </w:tc>
        <w:tc>
          <w:tcPr>
            <w:tcW w:w="9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 xml:space="preserve">251.16 </w:t>
            </w:r>
          </w:p>
        </w:tc>
      </w:tr>
      <w:tr>
        <w:tblPrEx>
          <w:tblCellMar>
            <w:top w:w="0" w:type="dxa"/>
            <w:left w:w="108" w:type="dxa"/>
            <w:bottom w:w="0" w:type="dxa"/>
            <w:right w:w="108" w:type="dxa"/>
          </w:tblCellMar>
        </w:tblPrEx>
        <w:trPr>
          <w:trHeight w:val="430" w:hRule="atLeast"/>
        </w:trPr>
        <w:tc>
          <w:tcPr>
            <w:tcW w:w="3391" w:type="pct"/>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0"/>
                <w:lang w:eastAsia="zh-CN" w:bidi="ar"/>
              </w:rPr>
            </w:pPr>
            <w:r>
              <w:rPr>
                <w:rFonts w:hint="eastAsia" w:ascii="仿宋" w:hAnsi="仿宋" w:eastAsia="仿宋" w:cs="仿宋"/>
                <w:color w:val="000000"/>
                <w:kern w:val="0"/>
                <w:sz w:val="20"/>
                <w:lang w:eastAsia="zh-CN" w:bidi="ar"/>
              </w:rPr>
              <w:t>合计</w:t>
            </w:r>
          </w:p>
        </w:tc>
        <w:tc>
          <w:tcPr>
            <w:tcW w:w="10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3563.7</w:t>
            </w:r>
          </w:p>
        </w:tc>
        <w:tc>
          <w:tcPr>
            <w:tcW w:w="114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 xml:space="preserve">583.29 </w:t>
            </w:r>
          </w:p>
        </w:tc>
      </w:tr>
    </w:tbl>
    <w:p>
      <w:pPr>
        <w:widowControl w:val="0"/>
        <w:snapToGrid w:val="0"/>
        <w:spacing w:line="360" w:lineRule="auto"/>
        <w:ind w:firstLine="400" w:firstLineChars="200"/>
        <w:rPr>
          <w:rFonts w:hint="eastAsia" w:ascii="仿宋_GB2312" w:hAnsi="仿宋" w:eastAsia="仿宋_GB2312" w:cs="仿宋"/>
          <w:snapToGrid w:val="0"/>
          <w:sz w:val="20"/>
          <w:szCs w:val="20"/>
          <w:lang w:val="en-US" w:eastAsia="zh-CN"/>
        </w:rPr>
      </w:pPr>
      <w:r>
        <w:rPr>
          <w:rFonts w:hint="eastAsia" w:ascii="仿宋_GB2312" w:hAnsi="仿宋" w:eastAsia="仿宋_GB2312" w:cs="仿宋"/>
          <w:snapToGrid w:val="0"/>
          <w:sz w:val="20"/>
          <w:szCs w:val="20"/>
          <w:lang w:val="en-US" w:eastAsia="zh-CN"/>
        </w:rPr>
        <w:t>备注：本估价结果为房地产市场价</w:t>
      </w:r>
      <w:r>
        <w:rPr>
          <w:rFonts w:hint="eastAsia" w:ascii="仿宋_GB2312" w:hAnsi="仿宋" w:eastAsia="仿宋_GB2312" w:cs="仿宋"/>
          <w:snapToGrid w:val="0"/>
          <w:color w:val="auto"/>
          <w:sz w:val="20"/>
          <w:szCs w:val="20"/>
          <w:highlight w:val="none"/>
          <w:lang w:val="en-US" w:eastAsia="zh-CN"/>
        </w:rPr>
        <w:t>值，仅包含估价对象房屋建筑物及占用的土地使用权市场价值，同时包含满足估价对象功能需要的水、电、消防等配套设施价值及附着于房地产实现其使用功能的装饰装修价值，不包含动产（如可移动的存货、家具、电器等物品）、债权债务、特许经营权等其他财产价值。</w:t>
      </w:r>
    </w:p>
    <w:p>
      <w:pPr>
        <w:adjustRightInd w:val="0"/>
        <w:snapToGrid w:val="0"/>
        <w:spacing w:line="360" w:lineRule="auto"/>
        <w:ind w:firstLine="4200" w:firstLineChars="1500"/>
        <w:rPr>
          <w:rFonts w:hint="eastAsia" w:ascii="黑体" w:hAnsi="黑体" w:eastAsia="黑体"/>
          <w:kern w:val="0"/>
          <w:sz w:val="28"/>
          <w:szCs w:val="28"/>
        </w:rPr>
      </w:pPr>
    </w:p>
    <w:p>
      <w:pPr>
        <w:adjustRightInd w:val="0"/>
        <w:snapToGrid w:val="0"/>
        <w:spacing w:line="360" w:lineRule="auto"/>
        <w:ind w:firstLine="4200" w:firstLineChars="1500"/>
        <w:rPr>
          <w:rFonts w:ascii="黑体" w:hAnsi="黑体" w:eastAsia="黑体"/>
          <w:kern w:val="0"/>
          <w:sz w:val="28"/>
          <w:szCs w:val="28"/>
        </w:rPr>
      </w:pPr>
      <w:r>
        <w:rPr>
          <w:rFonts w:hint="eastAsia" w:ascii="黑体" w:hAnsi="黑体" w:eastAsia="黑体"/>
          <w:kern w:val="0"/>
          <w:sz w:val="28"/>
          <w:szCs w:val="28"/>
        </w:rPr>
        <w:t>深圳市国咨土地房地产资产评估有限公司</w:t>
      </w:r>
    </w:p>
    <w:p>
      <w:pPr>
        <w:adjustRightInd w:val="0"/>
        <w:snapToGrid w:val="0"/>
        <w:spacing w:line="360" w:lineRule="auto"/>
        <w:ind w:firstLine="4620" w:firstLineChars="1650"/>
        <w:rPr>
          <w:rFonts w:ascii="黑体" w:hAnsi="黑体" w:eastAsia="黑体"/>
          <w:kern w:val="0"/>
          <w:sz w:val="28"/>
          <w:szCs w:val="28"/>
        </w:rPr>
      </w:pPr>
      <w:r>
        <w:rPr>
          <w:rFonts w:hint="eastAsia" w:ascii="黑体" w:hAnsi="黑体" w:eastAsia="黑体"/>
          <w:kern w:val="0"/>
          <w:sz w:val="28"/>
          <w:szCs w:val="28"/>
        </w:rPr>
        <w:t>法定代表人：</w:t>
      </w:r>
    </w:p>
    <w:p>
      <w:pPr>
        <w:adjustRightInd w:val="0"/>
        <w:snapToGrid w:val="0"/>
        <w:spacing w:line="360" w:lineRule="auto"/>
        <w:ind w:firstLine="5740" w:firstLineChars="2050"/>
        <w:rPr>
          <w:rFonts w:hint="eastAsia" w:ascii="黑体" w:hAnsi="黑体" w:eastAsia="黑体"/>
          <w:kern w:val="0"/>
          <w:sz w:val="28"/>
          <w:szCs w:val="28"/>
          <w:lang w:eastAsia="zh-CN"/>
        </w:rPr>
        <w:sectPr>
          <w:footerReference r:id="rId3" w:type="default"/>
          <w:pgSz w:w="11907" w:h="16840"/>
          <w:pgMar w:top="850" w:right="1080" w:bottom="850" w:left="1080" w:header="680" w:footer="794" w:gutter="283"/>
          <w:pgBorders>
            <w:top w:val="none" w:sz="0" w:space="0"/>
            <w:left w:val="none" w:sz="0" w:space="0"/>
            <w:bottom w:val="none" w:sz="0" w:space="0"/>
            <w:right w:val="none" w:sz="0" w:space="0"/>
          </w:pgBorders>
          <w:pgNumType w:start="1"/>
          <w:cols w:space="0" w:num="1"/>
          <w:rtlGutter w:val="0"/>
          <w:docGrid w:type="lines" w:linePitch="479" w:charSpace="0"/>
        </w:sectPr>
      </w:pPr>
      <w:r>
        <w:rPr>
          <w:rFonts w:hint="eastAsia" w:ascii="黑体" w:hAnsi="黑体" w:eastAsia="黑体"/>
          <w:kern w:val="0"/>
          <w:sz w:val="28"/>
          <w:szCs w:val="28"/>
          <w:lang w:eastAsia="zh-CN"/>
        </w:rPr>
        <w:t>二〇二四年三月二十九日</w:t>
      </w:r>
    </w:p>
    <w:p>
      <w:pPr>
        <w:pStyle w:val="3"/>
        <w:spacing w:before="120" w:after="240" w:line="240" w:lineRule="atLeast"/>
        <w:rPr>
          <w:rFonts w:ascii="黑体" w:eastAsia="黑体"/>
          <w:snapToGrid w:val="0"/>
          <w:kern w:val="0"/>
          <w:sz w:val="44"/>
          <w:szCs w:val="44"/>
        </w:rPr>
      </w:pPr>
      <w:bookmarkStart w:id="2" w:name="_Toc6277"/>
      <w:bookmarkStart w:id="3" w:name="_Toc451758622"/>
      <w:bookmarkStart w:id="4" w:name="_Toc451525146"/>
      <w:bookmarkStart w:id="5" w:name="_Toc451761848"/>
      <w:r>
        <w:rPr>
          <w:rFonts w:hint="eastAsia" w:ascii="黑体" w:eastAsia="黑体"/>
          <w:snapToGrid w:val="0"/>
          <w:kern w:val="0"/>
          <w:sz w:val="44"/>
          <w:szCs w:val="44"/>
        </w:rPr>
        <w:t>注册房地产估价师声明</w:t>
      </w:r>
      <w:bookmarkEnd w:id="2"/>
      <w:bookmarkEnd w:id="3"/>
      <w:bookmarkEnd w:id="4"/>
      <w:bookmarkEnd w:id="5"/>
    </w:p>
    <w:p>
      <w:pPr>
        <w:adjustRightInd w:val="0"/>
        <w:snapToGrid w:val="0"/>
        <w:spacing w:line="460" w:lineRule="exact"/>
        <w:ind w:firstLine="714" w:firstLineChars="200"/>
        <w:rPr>
          <w:rFonts w:ascii="黑体" w:hAnsi="仿宋" w:eastAsia="黑体"/>
          <w:sz w:val="30"/>
          <w:szCs w:val="30"/>
        </w:rPr>
      </w:pPr>
      <w:r>
        <w:rPr>
          <w:rFonts w:hint="eastAsia" w:ascii="黑体" w:hAnsi="仿宋" w:eastAsia="黑体"/>
          <w:b/>
          <w:sz w:val="30"/>
          <w:szCs w:val="30"/>
        </w:rPr>
        <w:t>我们郑重声明</w:t>
      </w:r>
      <w:r>
        <w:rPr>
          <w:rFonts w:hint="eastAsia" w:ascii="黑体" w:hAnsi="仿宋" w:eastAsia="黑体"/>
          <w:sz w:val="30"/>
          <w:szCs w:val="30"/>
        </w:rPr>
        <w:t>：</w:t>
      </w:r>
    </w:p>
    <w:p>
      <w:pPr>
        <w:pStyle w:val="35"/>
        <w:adjustRightInd w:val="0"/>
        <w:snapToGrid w:val="0"/>
        <w:spacing w:line="460" w:lineRule="exact"/>
        <w:ind w:firstLine="505" w:firstLineChars="150"/>
        <w:rPr>
          <w:rFonts w:ascii="仿宋_GB2312" w:eastAsia="仿宋_GB2312"/>
          <w:snapToGrid w:val="0"/>
          <w:color w:val="000000"/>
          <w:sz w:val="28"/>
          <w:szCs w:val="28"/>
        </w:rPr>
      </w:pPr>
      <w:r>
        <w:rPr>
          <w:rFonts w:hint="eastAsia" w:ascii="仿宋_GB2312" w:eastAsia="仿宋_GB2312"/>
          <w:snapToGrid w:val="0"/>
          <w:color w:val="000000"/>
          <w:sz w:val="28"/>
          <w:szCs w:val="28"/>
        </w:rPr>
        <w:t>1、我们在本估价报告中陈述的事实是真实的和准确的，没有虚假记载、误导性陈述、重大遗漏或重大差错。权属资料及其他有关资料、文件均由委托方提供，委托方应对所提供资料的完整性、真实性、合法性承担全部责任。房地产估价师对于估价对象的权属状况给予必要的关注，但不对估价对象的法律权属做任何形式的保证。</w:t>
      </w:r>
    </w:p>
    <w:p>
      <w:pPr>
        <w:pStyle w:val="35"/>
        <w:adjustRightInd w:val="0"/>
        <w:snapToGrid w:val="0"/>
        <w:spacing w:line="48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2、本估价报告中的分析、意见和结论是我们自己公正的专业分析、意见和结论，但估价结果受到本估价报告中已说明的假设和限制条件的限制。</w:t>
      </w:r>
    </w:p>
    <w:p>
      <w:pPr>
        <w:pStyle w:val="35"/>
        <w:adjustRightInd w:val="0"/>
        <w:snapToGrid w:val="0"/>
        <w:spacing w:line="48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3、估价师与估价报告中的估价对象没有现实或潜在的利益，与估价委托人及估价利害关系人没有利害关系，也对估价对象、估价委托人及估价利害关系人没有偏见，估价师是按照有关法律法规和房地产估价标准的规定开展估价工作，撰写估价报告。估价师所在的评估机构坚持公正、公平原则，站在中立的立场上实事求是地开展本次评估工作，与本估价报告中的估价对象没有任何利害关系，也与有关当事人没有个人利害关系或偏见。</w:t>
      </w:r>
    </w:p>
    <w:p>
      <w:pPr>
        <w:pStyle w:val="35"/>
        <w:adjustRightInd w:val="0"/>
        <w:snapToGrid w:val="0"/>
        <w:spacing w:line="48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4、我们严格依照中华人民共和国国家标准《房地产估价规范》【GB/T50291-2015】进行分析，形成结论，撰写本估价报告。</w:t>
      </w:r>
    </w:p>
    <w:p>
      <w:pPr>
        <w:pStyle w:val="35"/>
        <w:adjustRightInd w:val="0"/>
        <w:snapToGrid w:val="0"/>
        <w:spacing w:line="48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5、我们已对本估价报告中的估价对象进行了实地查勘，并对查勘的客观性、真实性、公正性承担责任，但我们对估价对象的现场查勘仅限于其外观和使用状况，对被遮盖、未暴露及难以接触到的部分，我们不承担对估价对象建筑结构质量进行调查的责任，相关权属资料仅以委托方提供的复印件为基础进行形式审查和一般性核对，实质性审查为相关房地产主管单位及部门，故本公司不对其建筑结构质量、数量等内容的准确性及相关权益负责。</w:t>
      </w:r>
    </w:p>
    <w:p>
      <w:pPr>
        <w:pStyle w:val="35"/>
        <w:adjustRightInd w:val="0"/>
        <w:snapToGrid w:val="0"/>
        <w:spacing w:line="480" w:lineRule="exact"/>
        <w:ind w:firstLine="674" w:firstLineChars="200"/>
        <w:rPr>
          <w:rFonts w:ascii="仿宋_GB2312" w:eastAsia="仿宋_GB2312"/>
          <w:snapToGrid w:val="0"/>
          <w:sz w:val="28"/>
          <w:szCs w:val="28"/>
        </w:rPr>
      </w:pPr>
      <w:r>
        <w:rPr>
          <w:rFonts w:hint="eastAsia" w:ascii="仿宋_GB2312" w:eastAsia="仿宋_GB2312"/>
          <w:snapToGrid w:val="0"/>
          <w:sz w:val="28"/>
          <w:szCs w:val="28"/>
        </w:rPr>
        <w:t>我公司人员于</w:t>
      </w:r>
      <w:r>
        <w:rPr>
          <w:rFonts w:hint="eastAsia" w:ascii="仿宋_GB2312" w:eastAsia="仿宋_GB2312"/>
          <w:snapToGrid w:val="0"/>
          <w:sz w:val="28"/>
          <w:szCs w:val="28"/>
          <w:lang w:eastAsia="zh-CN"/>
        </w:rPr>
        <w:t>2024年2月1日</w:t>
      </w:r>
      <w:r>
        <w:rPr>
          <w:rFonts w:hint="eastAsia" w:ascii="仿宋_GB2312" w:eastAsia="仿宋_GB2312"/>
          <w:snapToGrid w:val="0"/>
          <w:sz w:val="28"/>
          <w:szCs w:val="28"/>
        </w:rPr>
        <w:t>已对估价对象进行了实地勘察。</w:t>
      </w:r>
    </w:p>
    <w:p>
      <w:pPr>
        <w:pStyle w:val="35"/>
        <w:adjustRightInd w:val="0"/>
        <w:snapToGrid w:val="0"/>
        <w:spacing w:line="48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6、注册房地产估价师及其所在的评估机构具备本评估业务所需的执业资格和相关的评估经验。由于估价人员的专业限制，本次估价过程中没有其他专业人员及机构对本估价报告提供诸如结构安全、环境保护、规划控制、产权设定与登记、装修及配套设施设备的权属等方面的专业支持和帮助，委托方应当保证估价对象在合法使用前提下获得收益。</w:t>
      </w:r>
    </w:p>
    <w:p>
      <w:pPr>
        <w:pStyle w:val="35"/>
        <w:adjustRightInd w:val="0"/>
        <w:snapToGrid w:val="0"/>
        <w:spacing w:line="48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7、本估价报告是本估价机构根据估价目的，遵循估价原则，采用科学合理的估价方法，在认真分析现有资料的基础上，经过测算，结合估价经验与对影响房地产市场价格因素进行分析，为估价对象在特定估价目的而出具的，但受本估价机构估价人员的职业水平和能力的影响。</w:t>
      </w:r>
    </w:p>
    <w:p>
      <w:pPr>
        <w:pStyle w:val="35"/>
        <w:adjustRightInd w:val="0"/>
        <w:snapToGrid w:val="0"/>
        <w:spacing w:line="48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8、本评估报告的使用范围：委托方在使用本报告时，务请注意本评估结果报告中的估价的假设和限制条件。并且本评估报告的全文作为一个不可分割的整体，若仅有部分内容，则不能成为有效的评估报告。</w:t>
      </w:r>
    </w:p>
    <w:p>
      <w:pPr>
        <w:pStyle w:val="35"/>
        <w:adjustRightInd w:val="0"/>
        <w:snapToGrid w:val="0"/>
        <w:spacing w:line="48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9、本报告书专为委托方为本报告所列明的估价对象在价值时点和估价目的等条件下的市场客观价值提供参考依据。评估结果仅为人民法院确定财产处置参考价服务，不是评估对象处置可实现的成交价格，也不应当被视为对评估对象处置成交价格的保证。未经本公司书面同意，本报告的全部或部分内容不得提供给与本报告估价目的无关的单位或个人，不得发表于任何公开媒体上。</w:t>
      </w:r>
    </w:p>
    <w:p>
      <w:pPr>
        <w:pStyle w:val="35"/>
        <w:adjustRightInd w:val="0"/>
        <w:snapToGrid w:val="0"/>
        <w:spacing w:line="48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10、使用本报告书时，应当按照法律规定和评估报告载明的用途、使用人、使用期限等使用范围使用评估报告。否则，房地产估价机构和注册房地产估价师依法不承担责任。</w:t>
      </w:r>
    </w:p>
    <w:p>
      <w:pPr>
        <w:pStyle w:val="35"/>
        <w:adjustRightInd w:val="0"/>
        <w:snapToGrid w:val="0"/>
        <w:spacing w:line="48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11、在评估报告使用期限或者评估结果有效期内，评估报告或者评估结果未使用之前，如果评估对象状况、欠缴税费状况等与财产拍卖或者变卖时的相应状况不一致，发生明显变化的，评估结果应当进行相应调整后才可使用。若采用拍卖方式，则应提示潜在竞买人充分了解以上告知事项，参与竞买则视为同意接受现状的实物状态及权益状况，并自行承担相关法律行为所涉及的后果，本公司不对此承担任何责任，因此，报告使用人需全面阅读房地产估价报告并合理使用。</w:t>
      </w:r>
    </w:p>
    <w:p>
      <w:pPr>
        <w:pStyle w:val="35"/>
        <w:adjustRightInd w:val="0"/>
        <w:snapToGrid w:val="0"/>
        <w:spacing w:line="48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12、本估价报告若因打印、校对及其他原因发生误差时，请委托方及时通知本评估机构予以更正，否则，误差部分无效。</w:t>
      </w:r>
    </w:p>
    <w:p>
      <w:pPr>
        <w:pStyle w:val="35"/>
        <w:adjustRightInd w:val="0"/>
        <w:snapToGrid w:val="0"/>
        <w:spacing w:line="48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13、本报告中的数据全部采用电算化连续计算得出，由于在报告中计算的数据均按四舍五入保留两位小数或取整，因此，可能出现个别等式左右不完全相等的情况，但不影响计算结果及最终评估结论的准确性。</w:t>
      </w:r>
    </w:p>
    <w:p>
      <w:pPr>
        <w:pStyle w:val="35"/>
        <w:adjustRightInd w:val="0"/>
        <w:snapToGrid w:val="0"/>
        <w:spacing w:line="48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14、本报告中，除使用政府部门、行业公布的价格资料和公开市场的价格信息外，主要依据估价委托人提供的相关材料，包括但不限于其提供的权属证件等复印件，我们未得到授权也无法定资格核查审验估价委托人提供的资料之真伪，估价委托人应对其提供的全部资料的真实性、合法性、完整性及其可能引起的后果负责。</w:t>
      </w:r>
    </w:p>
    <w:p>
      <w:pPr>
        <w:pStyle w:val="35"/>
        <w:adjustRightInd w:val="0"/>
        <w:snapToGrid w:val="0"/>
        <w:spacing w:line="48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15、其他声明事项：出于职业责任，为避免对本估价报告使用不当的情况发生，提示估价报告使用者合理并恰当使用估价报告，并声明不承担相关当事人决策的责任。目前根据相关国家法律法规，房地产在产权变更会受到相关限制条件的约束，估价对象及其相应的通行权、采光权及其他权利应符合法律规定设置的条件，其具体设置及享受权利的情况请报告使用人咨询规划、自然资源及房地产管理主管单位予以详细了解后结合本报告结果予以决策。我司特别提醒报告使用人及相关人应予以现场查看并充分了解估价对象的相关权益及实物状况，因委托方片面使用报告或用于本报告所限定的估价目的以外用途而导致的法律后果，均由委托方承担。</w:t>
      </w:r>
    </w:p>
    <w:p>
      <w:pPr>
        <w:widowControl/>
        <w:spacing w:line="460" w:lineRule="exact"/>
        <w:ind w:firstLine="674" w:firstLineChars="200"/>
        <w:jc w:val="left"/>
        <w:rPr>
          <w:rFonts w:ascii="仿宋_GB2312" w:eastAsia="仿宋_GB2312"/>
          <w:snapToGrid w:val="0"/>
          <w:sz w:val="28"/>
          <w:szCs w:val="28"/>
        </w:rPr>
      </w:pPr>
      <w:r>
        <w:rPr>
          <w:rFonts w:hint="eastAsia" w:ascii="仿宋_GB2312" w:eastAsia="仿宋_GB2312"/>
          <w:snapToGrid w:val="0"/>
          <w:sz w:val="28"/>
          <w:szCs w:val="28"/>
        </w:rPr>
        <w:t>16、根据房地产估价师了解估价对象为现房，已办理了产权登记并取得《</w:t>
      </w:r>
      <w:r>
        <w:rPr>
          <w:rFonts w:hint="eastAsia" w:ascii="仿宋_GB2312" w:eastAsia="仿宋_GB2312"/>
          <w:snapToGrid w:val="0"/>
          <w:sz w:val="28"/>
          <w:szCs w:val="28"/>
          <w:lang w:eastAsia="zh-CN"/>
        </w:rPr>
        <w:t>房屋所有权证</w:t>
      </w:r>
      <w:r>
        <w:rPr>
          <w:rFonts w:hint="eastAsia" w:ascii="仿宋_GB2312" w:eastAsia="仿宋_GB2312"/>
          <w:snapToGrid w:val="0"/>
          <w:sz w:val="28"/>
          <w:szCs w:val="28"/>
        </w:rPr>
        <w:t>》，产权清晰，则快速变现产生的主要费用为：拍卖（处置）的佣金、税费等。</w:t>
      </w:r>
      <w:r>
        <w:rPr>
          <w:rFonts w:hint="eastAsia" w:ascii="仿宋_GB2312" w:eastAsia="仿宋_GB2312"/>
          <w:snapToGrid w:val="0"/>
          <w:kern w:val="0"/>
          <w:sz w:val="28"/>
          <w:szCs w:val="28"/>
        </w:rPr>
        <w:t>清偿顺序为：①支付处置费用和佣金；②偿还法定优先受偿款；③偿还抵押权人（或债权人）的债权本息及违约金；④余款交委托人（或抵押人）。</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经过市场调查发现，拍卖作为一种短期强制交易行为，在其交易过程中容易受到交易信息、交易时间、付款方式、潜在竟买者数量，甚至交易场所气氛等诸多因素影响。根据我们的调查资料及我们的专业分析，估价对象所在区域的房地产市场状况，拍卖估价对象的价值与市场价值应存在一定的差距。</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根据拍卖市场的调查，拍卖底价一般是市场价格的65%——85%，具体视拍卖品的市场交易风险而不同。根据对估价对象的快速变现能力的分析，认为估价对象的变现能力一般。</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17、本报告须由本评估机构及估价人员签字盖章后方为有效，估价报告的全部或部分复印件均无效。</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18、本评估报告若有其他未尽事宜，则由深圳市国咨土地房地产资产评估有限公司负责解释。</w:t>
      </w:r>
    </w:p>
    <w:p>
      <w:pPr>
        <w:pStyle w:val="3"/>
        <w:keepNext/>
        <w:keepLines w:val="0"/>
        <w:pageBreakBefore w:val="0"/>
        <w:widowControl w:val="0"/>
        <w:kinsoku/>
        <w:wordWrap/>
        <w:overflowPunct/>
        <w:topLinePunct w:val="0"/>
        <w:autoSpaceDE/>
        <w:autoSpaceDN/>
        <w:bidi w:val="0"/>
        <w:adjustRightInd/>
        <w:snapToGrid/>
        <w:spacing w:before="120" w:after="240" w:line="240" w:lineRule="auto"/>
        <w:textAlignment w:val="auto"/>
        <w:rPr>
          <w:rFonts w:hint="eastAsia" w:ascii="黑体" w:hAnsi="Times New Roman" w:eastAsia="黑体" w:cs="Times New Roman"/>
          <w:b/>
          <w:snapToGrid w:val="0"/>
          <w:kern w:val="0"/>
          <w:sz w:val="36"/>
          <w:szCs w:val="44"/>
        </w:rPr>
      </w:pPr>
      <w:bookmarkStart w:id="6" w:name="_Toc20014"/>
      <w:r>
        <w:rPr>
          <w:rFonts w:hint="eastAsia" w:ascii="黑体" w:hAnsi="Times New Roman" w:eastAsia="黑体" w:cs="Times New Roman"/>
          <w:b/>
          <w:snapToGrid w:val="0"/>
          <w:kern w:val="0"/>
          <w:sz w:val="36"/>
          <w:szCs w:val="44"/>
        </w:rPr>
        <w:t>估价假设和限制条件</w:t>
      </w:r>
      <w:bookmarkEnd w:id="6"/>
    </w:p>
    <w:p>
      <w:pPr>
        <w:pStyle w:val="3"/>
        <w:spacing w:line="360" w:lineRule="auto"/>
        <w:jc w:val="left"/>
        <w:rPr>
          <w:rFonts w:ascii="黑体" w:eastAsia="黑体"/>
          <w:snapToGrid w:val="0"/>
          <w:kern w:val="0"/>
          <w:sz w:val="30"/>
          <w:szCs w:val="30"/>
        </w:rPr>
      </w:pPr>
      <w:bookmarkStart w:id="7" w:name="_Toc31384"/>
      <w:bookmarkStart w:id="8" w:name="_Toc11971"/>
      <w:bookmarkStart w:id="9" w:name="_Toc15767"/>
      <w:bookmarkStart w:id="10" w:name="_Toc70585121"/>
      <w:r>
        <w:rPr>
          <w:rFonts w:hint="eastAsia" w:ascii="黑体" w:eastAsia="黑体"/>
          <w:snapToGrid w:val="0"/>
          <w:kern w:val="0"/>
          <w:sz w:val="30"/>
          <w:szCs w:val="30"/>
        </w:rPr>
        <w:t>（一）估价假设</w:t>
      </w:r>
      <w:bookmarkEnd w:id="7"/>
      <w:bookmarkEnd w:id="8"/>
      <w:bookmarkEnd w:id="9"/>
      <w:bookmarkEnd w:id="10"/>
    </w:p>
    <w:p>
      <w:pPr>
        <w:pStyle w:val="3"/>
        <w:spacing w:line="460" w:lineRule="exact"/>
        <w:ind w:firstLine="337" w:firstLineChars="100"/>
        <w:jc w:val="left"/>
        <w:rPr>
          <w:rFonts w:ascii="仿宋_GB2312" w:eastAsia="仿宋_GB2312"/>
          <w:b w:val="0"/>
          <w:snapToGrid w:val="0"/>
          <w:kern w:val="0"/>
          <w:szCs w:val="28"/>
        </w:rPr>
      </w:pPr>
      <w:bookmarkStart w:id="11" w:name="_Toc10012"/>
      <w:bookmarkStart w:id="12" w:name="_Toc70585122"/>
      <w:bookmarkStart w:id="13" w:name="_Toc1861"/>
      <w:bookmarkStart w:id="14" w:name="_Toc25699"/>
      <w:r>
        <w:rPr>
          <w:rFonts w:hint="eastAsia" w:ascii="仿宋_GB2312" w:eastAsia="仿宋_GB2312"/>
          <w:b w:val="0"/>
          <w:snapToGrid w:val="0"/>
          <w:kern w:val="0"/>
          <w:szCs w:val="28"/>
        </w:rPr>
        <w:t>一、一般假设</w:t>
      </w:r>
      <w:bookmarkEnd w:id="11"/>
      <w:bookmarkEnd w:id="12"/>
      <w:bookmarkEnd w:id="13"/>
      <w:bookmarkEnd w:id="14"/>
    </w:p>
    <w:p>
      <w:pPr>
        <w:pStyle w:val="35"/>
        <w:adjustRightInd w:val="0"/>
        <w:snapToGrid w:val="0"/>
        <w:spacing w:line="460" w:lineRule="exact"/>
        <w:ind w:firstLine="505" w:firstLineChars="150"/>
        <w:rPr>
          <w:rFonts w:ascii="仿宋_GB2312" w:eastAsia="仿宋_GB2312"/>
          <w:snapToGrid w:val="0"/>
          <w:color w:val="000000"/>
          <w:sz w:val="28"/>
          <w:szCs w:val="28"/>
        </w:rPr>
      </w:pPr>
      <w:r>
        <w:rPr>
          <w:rFonts w:hint="eastAsia" w:ascii="仿宋_GB2312" w:eastAsia="仿宋_GB2312"/>
          <w:snapToGrid w:val="0"/>
          <w:color w:val="000000"/>
          <w:sz w:val="28"/>
          <w:szCs w:val="28"/>
        </w:rPr>
        <w:t>1、估价对象产权明晰，手续齐全，可以在市场上自由转让。</w:t>
      </w:r>
    </w:p>
    <w:p>
      <w:pPr>
        <w:pStyle w:val="35"/>
        <w:adjustRightInd w:val="0"/>
        <w:snapToGrid w:val="0"/>
        <w:spacing w:line="460" w:lineRule="exact"/>
        <w:ind w:firstLine="505" w:firstLineChars="150"/>
        <w:rPr>
          <w:rFonts w:ascii="仿宋_GB2312" w:eastAsia="仿宋_GB2312"/>
          <w:snapToGrid w:val="0"/>
          <w:color w:val="000000"/>
          <w:sz w:val="28"/>
          <w:szCs w:val="28"/>
        </w:rPr>
      </w:pPr>
      <w:r>
        <w:rPr>
          <w:rFonts w:hint="eastAsia" w:ascii="仿宋_GB2312" w:eastAsia="仿宋_GB2312"/>
          <w:snapToGrid w:val="0"/>
          <w:color w:val="000000"/>
          <w:sz w:val="28"/>
          <w:szCs w:val="28"/>
        </w:rPr>
        <w:t>2、估价委托人提供了估价对象的资料复印件，我方对委托方提供的资料上记载的权属、面积、用途等资料进行了审慎检查，并在政府相关网站上对所提供资料进行核实，在无理由怀疑其合法性、真实性、准确性和完整性的情况下，假定估价委托人提供的资料合法、真实、准确、完整。</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3、我司评估人员已对房屋安全、环境污染等影响估价对象价值的重要因素给予了关注，在无理由怀疑估价对象存在隐患且无相应的专业机构进行鉴定、监测的情况下，假定估价对象能正常安全使用。</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4、估价对象在价值时点的房地产市场为公开、平等、自愿的交易市场，即满足以下条件：</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(1) 买卖双方处于公平交易状态，对物业成交有充分讨价还价的权利；</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(2) 买卖双方都有一段充分了解物业现状及所处市场行情的时间,并且有一段合理的洽谈交易时间；</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(3) 在此期间物业价值将保持稳定；</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(4) 物业可以在公开市场上自由转让；</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(5) 不考虑特殊买家的额外出价；</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(6) 买卖双方之间无任何利害关系。</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5、估价对象建筑面积来源于估价委托人提供的资料复印件，估价对象所占用土地性质</w:t>
      </w:r>
      <w:r>
        <w:rPr>
          <w:rFonts w:hint="eastAsia" w:ascii="仿宋_GB2312" w:eastAsia="仿宋_GB2312"/>
          <w:snapToGrid w:val="0"/>
          <w:color w:val="auto"/>
          <w:sz w:val="28"/>
          <w:szCs w:val="28"/>
          <w:highlight w:val="none"/>
        </w:rPr>
        <w:t>为</w:t>
      </w:r>
      <w:r>
        <w:rPr>
          <w:rFonts w:hint="eastAsia" w:ascii="仿宋_GB2312" w:eastAsia="仿宋_GB2312"/>
          <w:snapToGrid w:val="0"/>
          <w:color w:val="auto"/>
          <w:sz w:val="28"/>
          <w:szCs w:val="28"/>
          <w:highlight w:val="none"/>
          <w:lang w:eastAsia="zh-CN"/>
        </w:rPr>
        <w:t>国有</w:t>
      </w:r>
      <w:r>
        <w:rPr>
          <w:rFonts w:hint="eastAsia" w:ascii="仿宋_GB2312" w:eastAsia="仿宋_GB2312"/>
          <w:snapToGrid w:val="0"/>
          <w:sz w:val="28"/>
          <w:szCs w:val="28"/>
          <w:highlight w:val="none"/>
        </w:rPr>
        <w:t>，估价对象及</w:t>
      </w:r>
      <w:r>
        <w:rPr>
          <w:rFonts w:hint="eastAsia" w:ascii="仿宋_GB2312" w:eastAsia="仿宋_GB2312"/>
          <w:snapToGrid w:val="0"/>
          <w:sz w:val="28"/>
          <w:szCs w:val="28"/>
        </w:rPr>
        <w:t>其相应的通行权、采光权及其他权利应符合法律规定设置的条件，其具体设置及享受权利的情况请报告使用人咨询规划、国土及房地产管理主管单位予以详细了解后结合本报告结果予以决策，若与实际不符，应据实调整评估价值。因其不实造成的影响，本公司不承担任何责任</w:t>
      </w:r>
      <w:r>
        <w:rPr>
          <w:rFonts w:ascii="仿宋_GB2312" w:eastAsia="仿宋_GB2312"/>
          <w:snapToGrid w:val="0"/>
          <w:sz w:val="28"/>
          <w:szCs w:val="28"/>
        </w:rPr>
        <w:t>。</w:t>
      </w:r>
    </w:p>
    <w:p>
      <w:pPr>
        <w:pStyle w:val="35"/>
        <w:adjustRightInd w:val="0"/>
        <w:snapToGrid w:val="0"/>
        <w:spacing w:line="460" w:lineRule="exact"/>
        <w:ind w:firstLine="505" w:firstLineChars="150"/>
        <w:rPr>
          <w:rFonts w:hint="eastAsia" w:ascii="仿宋_GB2312" w:eastAsia="仿宋_GB2312"/>
          <w:snapToGrid w:val="0"/>
          <w:sz w:val="28"/>
          <w:szCs w:val="28"/>
          <w:highlight w:val="yellow"/>
          <w:lang w:val="en-US" w:eastAsia="zh-CN"/>
        </w:rPr>
      </w:pPr>
      <w:r>
        <w:rPr>
          <w:rFonts w:hint="eastAsia" w:ascii="仿宋_GB2312" w:eastAsia="仿宋_GB2312"/>
          <w:snapToGrid w:val="0"/>
          <w:sz w:val="28"/>
          <w:szCs w:val="28"/>
          <w:highlight w:val="yellow"/>
        </w:rPr>
        <w:t>6、根据《涉执房地产处置是否评估指导意见（试行）》之第十四条规定，我司经过尽职调查，人民法院</w:t>
      </w:r>
      <w:r>
        <w:rPr>
          <w:rFonts w:hint="eastAsia" w:ascii="仿宋_GB2312" w:eastAsia="仿宋_GB2312"/>
          <w:snapToGrid w:val="0"/>
          <w:sz w:val="28"/>
          <w:szCs w:val="28"/>
          <w:highlight w:val="yellow"/>
          <w:lang w:eastAsia="zh-CN"/>
        </w:rPr>
        <w:t>于</w:t>
      </w:r>
      <w:r>
        <w:rPr>
          <w:rFonts w:hint="eastAsia" w:ascii="仿宋_GB2312" w:eastAsia="仿宋_GB2312"/>
          <w:snapToGrid w:val="0"/>
          <w:sz w:val="28"/>
          <w:szCs w:val="28"/>
          <w:highlight w:val="yellow"/>
          <w:lang w:val="en-US" w:eastAsia="zh-CN"/>
        </w:rPr>
        <w:t>2024年1月26日《重新评估委托书》并提供揭阳市惠来县惠城镇葵阳对外工业区家用电器厂-南楼租赁协议书，租赁期自2019年8月1日至2039年7月31日，因此该估价对象存</w:t>
      </w:r>
      <w:r>
        <w:rPr>
          <w:rFonts w:hint="eastAsia" w:ascii="仿宋_GB2312" w:eastAsia="仿宋_GB2312"/>
          <w:snapToGrid w:val="0"/>
          <w:sz w:val="28"/>
          <w:szCs w:val="28"/>
          <w:highlight w:val="yellow"/>
        </w:rPr>
        <w:t>在租赁权、用益物权及占用使用情况</w:t>
      </w:r>
      <w:r>
        <w:rPr>
          <w:rFonts w:hint="eastAsia" w:ascii="仿宋_GB2312" w:eastAsia="仿宋_GB2312"/>
          <w:snapToGrid w:val="0"/>
          <w:sz w:val="28"/>
          <w:szCs w:val="28"/>
          <w:highlight w:val="yellow"/>
          <w:lang w:eastAsia="zh-CN"/>
        </w:rPr>
        <w:t>；揭阳市惠来县惠城镇葵阳对外工业区家用电器厂-北楼，</w:t>
      </w:r>
      <w:r>
        <w:rPr>
          <w:rFonts w:hint="eastAsia" w:ascii="仿宋_GB2312" w:eastAsia="仿宋_GB2312"/>
          <w:snapToGrid w:val="0"/>
          <w:sz w:val="28"/>
          <w:szCs w:val="28"/>
          <w:highlight w:val="yellow"/>
        </w:rPr>
        <w:t>人民法院</w:t>
      </w:r>
      <w:r>
        <w:rPr>
          <w:rFonts w:hint="eastAsia" w:ascii="仿宋_GB2312" w:eastAsia="仿宋_GB2312"/>
          <w:snapToGrid w:val="0"/>
          <w:sz w:val="28"/>
          <w:szCs w:val="28"/>
          <w:highlight w:val="yellow"/>
          <w:lang w:eastAsia="zh-CN"/>
        </w:rPr>
        <w:t>提供的《葵阳对外工业区固定资产情况汇总表》中显示该评估对象存在租</w:t>
      </w:r>
      <w:r>
        <w:rPr>
          <w:rFonts w:hint="eastAsia" w:ascii="仿宋_GB2312" w:eastAsia="仿宋_GB2312"/>
          <w:snapToGrid w:val="0"/>
          <w:sz w:val="28"/>
          <w:szCs w:val="28"/>
          <w:highlight w:val="yellow"/>
        </w:rPr>
        <w:t>赁权、用益物权及占有使用情况，故本次估价作业设定</w:t>
      </w:r>
      <w:r>
        <w:rPr>
          <w:rFonts w:hint="eastAsia" w:ascii="仿宋_GB2312" w:eastAsia="仿宋_GB2312"/>
          <w:snapToGrid w:val="0"/>
          <w:sz w:val="28"/>
          <w:szCs w:val="28"/>
          <w:highlight w:val="yellow"/>
          <w:lang w:eastAsia="zh-CN"/>
        </w:rPr>
        <w:t>该</w:t>
      </w:r>
      <w:r>
        <w:rPr>
          <w:rFonts w:hint="eastAsia" w:ascii="仿宋_GB2312" w:eastAsia="仿宋_GB2312"/>
          <w:snapToGrid w:val="0"/>
          <w:sz w:val="28"/>
          <w:szCs w:val="28"/>
          <w:highlight w:val="yellow"/>
        </w:rPr>
        <w:t>评估对象存在租赁权、用益物权及占用使用情况</w:t>
      </w:r>
      <w:r>
        <w:rPr>
          <w:rFonts w:hint="eastAsia" w:ascii="仿宋_GB2312" w:eastAsia="仿宋_GB2312"/>
          <w:snapToGrid w:val="0"/>
          <w:sz w:val="28"/>
          <w:szCs w:val="28"/>
          <w:highlight w:val="yellow"/>
          <w:lang w:eastAsia="zh-CN"/>
        </w:rPr>
        <w:t>。</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7、根据《涉执房地产处置是否评估指导意见（试行）》之第十五条规定，委托方未明确评估对象目前是否存在欠缴税金及相关费用（包括税收、物业费、供暖费、水电气费等及其滞纳金），故本次估价作业设定评估对象不存在欠缴税金及相关费用。</w:t>
      </w:r>
    </w:p>
    <w:p>
      <w:pPr>
        <w:pStyle w:val="3"/>
        <w:spacing w:line="460" w:lineRule="exact"/>
        <w:jc w:val="left"/>
        <w:rPr>
          <w:rFonts w:ascii="仿宋_GB2312" w:eastAsia="仿宋_GB2312"/>
          <w:b w:val="0"/>
          <w:snapToGrid w:val="0"/>
          <w:kern w:val="0"/>
          <w:szCs w:val="28"/>
        </w:rPr>
      </w:pPr>
      <w:bookmarkStart w:id="15" w:name="_Toc70585123"/>
      <w:bookmarkStart w:id="16" w:name="_Toc16275"/>
      <w:bookmarkStart w:id="17" w:name="_Toc18559"/>
      <w:bookmarkStart w:id="18" w:name="_Toc21459"/>
      <w:r>
        <w:rPr>
          <w:rFonts w:hint="eastAsia" w:ascii="仿宋_GB2312" w:eastAsia="仿宋_GB2312"/>
          <w:b w:val="0"/>
          <w:snapToGrid w:val="0"/>
          <w:kern w:val="0"/>
          <w:szCs w:val="28"/>
        </w:rPr>
        <w:t>二、未定事项假设</w:t>
      </w:r>
      <w:bookmarkEnd w:id="15"/>
      <w:bookmarkEnd w:id="16"/>
      <w:bookmarkEnd w:id="17"/>
      <w:bookmarkEnd w:id="18"/>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1、本次估价对象由估价委托人有关人员现场指认，若与实际不符，应重新估价；估价人员现场勘查时，未对其做建筑物基础、房屋结构上的测量和实验，本次估价假设其无建筑物基础、结构等方面的重大质量问题。</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2、本报告中预计转让税费为我司评估人员根据价值时点的国家、地方相关规定预计测算，仅供参考，估价对象实际发生转让时所发生的税费应以税务等相关政府部门测算为准。</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3、根据本次估价工作具体情况及委托方、估价对象权利人提供的相关资料，仅考虑了评估人员已知悉的法定优先受偿款，可能存在评估人员无法知悉的法定优先受偿款，谨提请报告使用人予以关注。</w:t>
      </w:r>
    </w:p>
    <w:p>
      <w:pPr>
        <w:pStyle w:val="3"/>
        <w:spacing w:line="460" w:lineRule="exact"/>
        <w:jc w:val="left"/>
        <w:rPr>
          <w:rFonts w:ascii="仿宋_GB2312" w:eastAsia="仿宋_GB2312"/>
          <w:b w:val="0"/>
          <w:snapToGrid w:val="0"/>
          <w:kern w:val="0"/>
          <w:szCs w:val="28"/>
        </w:rPr>
      </w:pPr>
      <w:bookmarkStart w:id="19" w:name="_Toc30557"/>
      <w:bookmarkStart w:id="20" w:name="_Toc12157"/>
      <w:bookmarkStart w:id="21" w:name="_Toc70585124"/>
      <w:bookmarkStart w:id="22" w:name="_Toc31473"/>
      <w:r>
        <w:rPr>
          <w:rFonts w:hint="eastAsia" w:ascii="仿宋_GB2312" w:eastAsia="仿宋_GB2312"/>
          <w:b w:val="0"/>
          <w:snapToGrid w:val="0"/>
          <w:kern w:val="0"/>
          <w:szCs w:val="28"/>
        </w:rPr>
        <w:t>三、背离事实假设</w:t>
      </w:r>
      <w:bookmarkEnd w:id="19"/>
      <w:bookmarkEnd w:id="20"/>
      <w:bookmarkEnd w:id="21"/>
      <w:bookmarkEnd w:id="22"/>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1、本次估价时没有考虑国家宏观经济政策发生变化，市场供求关系变化、市场结构转变、遇有自然力和其他不可抗力等因素对房地产价值的影响，未考虑估价对象可能存在抵押、担保等影响其价值的因素限制，也没有考虑估价对象将来可能承担违约责任的事宜，以及特殊交易方式下的特殊交易价格等对估价结果的影响。当上述条件发生变化时，估价结果亦会发生变化。</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2、根据估价委托人提供的产权资料复印件，本次估价是为估价委托人司法处置使用，故本次估价</w:t>
      </w:r>
      <w:r>
        <w:rPr>
          <w:rFonts w:hint="eastAsia" w:ascii="仿宋_GB2312" w:eastAsia="仿宋_GB2312"/>
          <w:snapToGrid w:val="0"/>
          <w:color w:val="auto"/>
          <w:sz w:val="28"/>
          <w:szCs w:val="28"/>
          <w:highlight w:val="none"/>
        </w:rPr>
        <w:t>未考虑他项权利对估价结果的影响，以估价对象具有完整产权、无他项权利限制</w:t>
      </w:r>
      <w:r>
        <w:rPr>
          <w:rFonts w:hint="eastAsia" w:ascii="仿宋_GB2312" w:eastAsia="仿宋_GB2312"/>
          <w:snapToGrid w:val="0"/>
          <w:sz w:val="28"/>
          <w:szCs w:val="28"/>
        </w:rPr>
        <w:t>为评估前提。</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3、估价结果未考虑估价对象及其所有人已承担的债务、或者债务及经营决策失误或者市场运作失当对其价值的影响。</w:t>
      </w:r>
    </w:p>
    <w:p>
      <w:pPr>
        <w:pStyle w:val="3"/>
        <w:spacing w:line="460" w:lineRule="exact"/>
        <w:jc w:val="left"/>
        <w:rPr>
          <w:rFonts w:ascii="仿宋_GB2312" w:eastAsia="仿宋_GB2312"/>
          <w:b w:val="0"/>
          <w:snapToGrid w:val="0"/>
          <w:kern w:val="0"/>
          <w:szCs w:val="28"/>
        </w:rPr>
      </w:pPr>
      <w:bookmarkStart w:id="23" w:name="_Toc70585125"/>
      <w:bookmarkStart w:id="24" w:name="_Toc20087"/>
      <w:bookmarkStart w:id="25" w:name="_Toc19771"/>
      <w:bookmarkStart w:id="26" w:name="_Toc31568"/>
      <w:r>
        <w:rPr>
          <w:rFonts w:hint="eastAsia" w:ascii="仿宋_GB2312" w:eastAsia="仿宋_GB2312"/>
          <w:b w:val="0"/>
          <w:snapToGrid w:val="0"/>
          <w:kern w:val="0"/>
          <w:szCs w:val="28"/>
        </w:rPr>
        <w:t>四、不相一致假设</w:t>
      </w:r>
      <w:bookmarkEnd w:id="23"/>
      <w:bookmarkEnd w:id="24"/>
      <w:bookmarkEnd w:id="25"/>
      <w:bookmarkEnd w:id="26"/>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1、本次评估以所有权人知悉并同意本次评估行为，且估价对象所有权人对估价对象产权归属不存在异议为假设前提。</w:t>
      </w:r>
    </w:p>
    <w:p>
      <w:pPr>
        <w:pStyle w:val="35"/>
        <w:adjustRightInd w:val="0"/>
        <w:snapToGrid w:val="0"/>
        <w:spacing w:line="460" w:lineRule="exact"/>
        <w:ind w:firstLine="505" w:firstLineChars="150"/>
        <w:rPr>
          <w:rFonts w:ascii="仿宋_GB2312" w:eastAsia="仿宋_GB2312"/>
          <w:snapToGrid w:val="0"/>
          <w:color w:val="000000"/>
          <w:sz w:val="28"/>
          <w:szCs w:val="28"/>
        </w:rPr>
      </w:pPr>
      <w:r>
        <w:rPr>
          <w:rFonts w:hint="eastAsia" w:ascii="仿宋_GB2312" w:eastAsia="仿宋_GB2312"/>
          <w:snapToGrid w:val="0"/>
          <w:color w:val="000000"/>
          <w:sz w:val="28"/>
          <w:szCs w:val="28"/>
        </w:rPr>
        <w:t>2、根据估价委托人提供的权属资料复印件，本次估价是为估价委托人司法处置使用，根据《涉执房地产处置司法评估指导意见（试行）》之第十三条规定：涉执房地产处置司法评估结果不应当考虑评估对象被查封以及原有的担保物权和其他优先受偿权的影响，故本次估价未考虑他项权利对估价结果的影响，以估价对象具有完整产权、无他项权利限制为评估前提。</w:t>
      </w:r>
    </w:p>
    <w:p>
      <w:pPr>
        <w:pStyle w:val="35"/>
        <w:adjustRightInd w:val="0"/>
        <w:snapToGrid w:val="0"/>
        <w:spacing w:line="460" w:lineRule="exact"/>
        <w:ind w:firstLine="505" w:firstLineChars="150"/>
        <w:rPr>
          <w:rFonts w:hint="eastAsia" w:ascii="仿宋_GB2312" w:eastAsia="仿宋_GB2312"/>
          <w:snapToGrid w:val="0"/>
          <w:sz w:val="28"/>
          <w:szCs w:val="28"/>
        </w:rPr>
      </w:pPr>
      <w:r>
        <w:rPr>
          <w:rFonts w:hint="eastAsia" w:ascii="仿宋_GB2312" w:eastAsia="仿宋_GB2312"/>
          <w:snapToGrid w:val="0"/>
          <w:sz w:val="28"/>
          <w:szCs w:val="28"/>
        </w:rPr>
        <w:t>3、估价结果未考虑估价对象及其所有人已承担的债务、或者债务及经营决策失误或者市场运作失当对其价值的影响。</w:t>
      </w:r>
    </w:p>
    <w:p>
      <w:pPr>
        <w:pStyle w:val="35"/>
        <w:adjustRightInd w:val="0"/>
        <w:snapToGrid w:val="0"/>
        <w:spacing w:line="460" w:lineRule="exact"/>
        <w:ind w:firstLine="505" w:firstLineChars="150"/>
        <w:rPr>
          <w:rFonts w:hint="eastAsia" w:ascii="仿宋_GB2312" w:hAnsi="Times New Roman" w:eastAsia="仿宋_GB2312" w:cs="Times New Roman"/>
          <w:snapToGrid w:val="0"/>
          <w:color w:val="000000"/>
          <w:sz w:val="28"/>
          <w:szCs w:val="28"/>
          <w:highlight w:val="none"/>
        </w:rPr>
      </w:pPr>
      <w:r>
        <w:rPr>
          <w:rFonts w:hint="eastAsia" w:ascii="仿宋_GB2312" w:hAnsi="Times New Roman" w:eastAsia="仿宋_GB2312" w:cs="Times New Roman"/>
          <w:snapToGrid w:val="0"/>
          <w:color w:val="000000"/>
          <w:sz w:val="28"/>
          <w:szCs w:val="28"/>
          <w:highlight w:val="none"/>
          <w:lang w:val="en-US" w:eastAsia="zh-CN"/>
        </w:rPr>
        <w:t>4</w:t>
      </w:r>
      <w:r>
        <w:rPr>
          <w:rFonts w:hint="eastAsia" w:ascii="仿宋_GB2312" w:hAnsi="Times New Roman" w:eastAsia="仿宋_GB2312" w:cs="Times New Roman"/>
          <w:snapToGrid w:val="0"/>
          <w:color w:val="000000"/>
          <w:sz w:val="28"/>
          <w:szCs w:val="28"/>
          <w:highlight w:val="none"/>
        </w:rPr>
        <w:t>、本次估价的估价对象资料载明用途为工业，现场勘查日实际揭阳市惠来县惠城镇葵阳对外工业区家用电器厂-南楼已对外出租并</w:t>
      </w:r>
      <w:r>
        <w:rPr>
          <w:rFonts w:hint="eastAsia" w:ascii="仿宋_GB2312" w:hAnsi="Times New Roman" w:eastAsia="仿宋_GB2312" w:cs="Times New Roman"/>
          <w:snapToGrid w:val="0"/>
          <w:color w:val="000000"/>
          <w:sz w:val="28"/>
          <w:szCs w:val="28"/>
          <w:highlight w:val="none"/>
          <w:lang w:eastAsia="zh-CN"/>
        </w:rPr>
        <w:t>已进行</w:t>
      </w:r>
      <w:r>
        <w:rPr>
          <w:rFonts w:hint="eastAsia" w:ascii="仿宋_GB2312" w:hAnsi="Times New Roman" w:eastAsia="仿宋_GB2312" w:cs="Times New Roman"/>
          <w:snapToGrid w:val="0"/>
          <w:color w:val="000000"/>
          <w:sz w:val="28"/>
          <w:szCs w:val="28"/>
          <w:highlight w:val="none"/>
        </w:rPr>
        <w:t>改扩建工程，经现场向权属人询问得知，相关行为是在法院通知未经许可不得实施该行为以及改扩建工程未进行相关报批的程序许可下进行的，根据委托方要求，本次评估按证载法定用途予以进行；结合评估人员对现场的查勘情况，估价对象所在区域工业聚集度</w:t>
      </w:r>
      <w:r>
        <w:rPr>
          <w:rFonts w:hint="eastAsia" w:ascii="仿宋_GB2312" w:eastAsia="仿宋_GB2312" w:cs="Times New Roman"/>
          <w:snapToGrid w:val="0"/>
          <w:color w:val="000000"/>
          <w:sz w:val="28"/>
          <w:szCs w:val="28"/>
          <w:highlight w:val="none"/>
          <w:lang w:eastAsia="zh-CN"/>
        </w:rPr>
        <w:t>一般</w:t>
      </w:r>
      <w:r>
        <w:rPr>
          <w:rFonts w:hint="eastAsia" w:ascii="仿宋_GB2312" w:hAnsi="Times New Roman" w:eastAsia="仿宋_GB2312" w:cs="Times New Roman"/>
          <w:snapToGrid w:val="0"/>
          <w:color w:val="000000"/>
          <w:sz w:val="28"/>
          <w:szCs w:val="28"/>
          <w:highlight w:val="none"/>
        </w:rPr>
        <w:t>。遵循最高最佳利用原则，本次评估以估价对象保持法定用途持续使用为估价前提。</w:t>
      </w:r>
    </w:p>
    <w:p>
      <w:pPr>
        <w:pStyle w:val="35"/>
        <w:adjustRightInd w:val="0"/>
        <w:snapToGrid w:val="0"/>
        <w:spacing w:line="480" w:lineRule="exact"/>
        <w:ind w:firstLine="0"/>
        <w:rPr>
          <w:rFonts w:ascii="仿宋_GB2312" w:eastAsia="仿宋_GB2312"/>
          <w:snapToGrid w:val="0"/>
          <w:sz w:val="28"/>
          <w:szCs w:val="28"/>
        </w:rPr>
      </w:pPr>
      <w:r>
        <w:rPr>
          <w:rFonts w:hint="eastAsia" w:ascii="仿宋_GB2312" w:eastAsia="仿宋_GB2312"/>
          <w:snapToGrid w:val="0"/>
          <w:sz w:val="28"/>
          <w:szCs w:val="28"/>
        </w:rPr>
        <w:t>五、依据不足假设</w:t>
      </w:r>
    </w:p>
    <w:p>
      <w:pPr>
        <w:pStyle w:val="35"/>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仿宋_GB2312" w:eastAsia="仿宋_GB2312"/>
          <w:snapToGrid w:val="0"/>
          <w:sz w:val="28"/>
          <w:szCs w:val="28"/>
        </w:rPr>
      </w:pPr>
      <w:r>
        <w:rPr>
          <w:rFonts w:hint="eastAsia" w:ascii="仿宋_GB2312" w:hAnsi="Times New Roman" w:eastAsia="仿宋_GB2312" w:cs="Times New Roman"/>
          <w:snapToGrid w:val="0"/>
          <w:color w:val="000000"/>
          <w:sz w:val="28"/>
          <w:szCs w:val="28"/>
        </w:rPr>
        <w:t>本次估价对象所占用土地使用权资料因历史遗留问题未能明确相关信息，本次估价假设土地使用权为国有出让土地使用权，估价结果包含了土地出让金。</w:t>
      </w:r>
    </w:p>
    <w:p>
      <w:pPr>
        <w:pStyle w:val="3"/>
        <w:spacing w:line="460" w:lineRule="exact"/>
        <w:jc w:val="left"/>
        <w:rPr>
          <w:rFonts w:ascii="黑体" w:eastAsia="黑体"/>
          <w:snapToGrid w:val="0"/>
          <w:kern w:val="0"/>
          <w:sz w:val="30"/>
          <w:szCs w:val="30"/>
        </w:rPr>
      </w:pPr>
      <w:bookmarkStart w:id="27" w:name="_Toc17713"/>
      <w:bookmarkStart w:id="28" w:name="_Toc18241"/>
      <w:bookmarkStart w:id="29" w:name="_Toc5565"/>
      <w:bookmarkStart w:id="30" w:name="_Toc70585126"/>
      <w:r>
        <w:rPr>
          <w:rFonts w:hint="eastAsia" w:ascii="黑体" w:eastAsia="黑体"/>
          <w:snapToGrid w:val="0"/>
          <w:kern w:val="0"/>
          <w:sz w:val="30"/>
          <w:szCs w:val="30"/>
        </w:rPr>
        <w:t>（二）估价限制条件</w:t>
      </w:r>
      <w:bookmarkEnd w:id="27"/>
      <w:bookmarkEnd w:id="28"/>
      <w:bookmarkEnd w:id="29"/>
      <w:bookmarkEnd w:id="30"/>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1、本估价报告估价结果是按照既定目的提供给估价委托人使用，若改变估价目的及使用条件，需向本公司咨询后作必要调整甚至重新估价。</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2、本估价报告应用的有效期自完成并提交估价报告之日起原则上规定为一年（自</w:t>
      </w:r>
      <w:r>
        <w:rPr>
          <w:rFonts w:hint="eastAsia" w:ascii="仿宋_GB2312" w:eastAsia="仿宋_GB2312"/>
          <w:snapToGrid w:val="0"/>
          <w:sz w:val="28"/>
          <w:szCs w:val="28"/>
          <w:lang w:eastAsia="zh-CN"/>
        </w:rPr>
        <w:t>二〇二四年三月二十九日</w:t>
      </w:r>
      <w:r>
        <w:rPr>
          <w:rFonts w:hint="eastAsia" w:ascii="仿宋_GB2312" w:eastAsia="仿宋_GB2312"/>
          <w:snapToGrid w:val="0"/>
          <w:sz w:val="28"/>
          <w:szCs w:val="28"/>
        </w:rPr>
        <w:t>至</w:t>
      </w:r>
      <w:r>
        <w:rPr>
          <w:rFonts w:hint="eastAsia" w:ascii="仿宋_GB2312" w:eastAsia="仿宋_GB2312"/>
          <w:snapToGrid w:val="0"/>
          <w:sz w:val="28"/>
          <w:szCs w:val="28"/>
          <w:lang w:eastAsia="zh-CN"/>
        </w:rPr>
        <w:t>二〇二五年三月二十八日</w:t>
      </w:r>
      <w:r>
        <w:rPr>
          <w:rFonts w:hint="eastAsia" w:ascii="仿宋_GB2312" w:eastAsia="仿宋_GB2312"/>
          <w:snapToGrid w:val="0"/>
          <w:sz w:val="28"/>
          <w:szCs w:val="28"/>
        </w:rPr>
        <w:t>止），若报告使用期限内，房地产市场或估价对象状况发生重大变化，估价结果需做相应调整或委托估价机构重新估价。</w:t>
      </w:r>
    </w:p>
    <w:p>
      <w:pPr>
        <w:pStyle w:val="35"/>
        <w:adjustRightInd w:val="0"/>
        <w:snapToGrid w:val="0"/>
        <w:spacing w:line="460" w:lineRule="exact"/>
        <w:ind w:firstLine="505" w:firstLineChars="150"/>
        <w:rPr>
          <w:rFonts w:hint="eastAsia" w:ascii="仿宋_GB2312" w:hAnsi="Times New Roman" w:eastAsia="仿宋_GB2312" w:cs="Times New Roman"/>
          <w:snapToGrid w:val="0"/>
          <w:sz w:val="28"/>
          <w:szCs w:val="28"/>
        </w:rPr>
      </w:pPr>
      <w:r>
        <w:rPr>
          <w:rFonts w:hint="eastAsia" w:ascii="仿宋_GB2312" w:hAnsi="Times New Roman" w:eastAsia="仿宋_GB2312" w:cs="Times New Roman"/>
          <w:snapToGrid w:val="0"/>
          <w:sz w:val="28"/>
          <w:szCs w:val="28"/>
        </w:rPr>
        <w:t>3、本报告中对于未来房地产市场发展趋势的分析、判断，是估价人员基于价值时点的房地产市场状况作出的，估价结果为价值时点下估价对象土地在法定规划条件、建筑物在法定利用条件下的房地产正常市场价值，如估价对象规划用途、土地性质、土地面积、建筑面积或建筑物使用状况发生变化，估价结果需要做相应的调整直至重新评估。</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4、本报告未考虑国家经济政策等发生变化或其他不可抗力时对估价对象的价值影响。估价对象在处置过程中，可能存在操作、法律、道德等方面无法预测的风险，对估价对象处置及交易过户等均可能产生一定的影响，从而可能对估价对象的处置价值产生减损作用，我司无法对此作出判断，特提醒报告使用人注意。</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5、本报告估价结果已经考虑标的物拍卖成交时有关增值税和一切有关税费承担的因素，特提醒报告使用人注意。</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6、本报告仅针对委托方估价目的做出估价，不对其他用途负责。</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7、如无特别说明，本估价报告中所使用的货币均为人民币。</w:t>
      </w:r>
    </w:p>
    <w:p>
      <w:pPr>
        <w:pStyle w:val="35"/>
        <w:adjustRightInd w:val="0"/>
        <w:snapToGrid w:val="0"/>
        <w:spacing w:line="460" w:lineRule="exact"/>
        <w:ind w:firstLine="505" w:firstLineChars="150"/>
        <w:rPr>
          <w:rFonts w:ascii="仿宋_GB2312" w:eastAsia="仿宋_GB2312"/>
          <w:snapToGrid w:val="0"/>
          <w:color w:val="000000"/>
          <w:sz w:val="28"/>
          <w:szCs w:val="28"/>
        </w:rPr>
      </w:pPr>
      <w:r>
        <w:rPr>
          <w:rFonts w:hint="eastAsia" w:ascii="仿宋_GB2312" w:eastAsia="仿宋_GB2312"/>
          <w:snapToGrid w:val="0"/>
          <w:color w:val="000000"/>
          <w:sz w:val="28"/>
          <w:szCs w:val="28"/>
        </w:rPr>
        <w:t>8、本报告中计算所采用的建筑面积依据来源于法院提供的资料，本司不对数据的准确性负责，若与实际面积不符，则估价结果应作相应调整或重新出具估价报告。本估价报告不作为估价对象权属确认的依据。</w:t>
      </w:r>
    </w:p>
    <w:p>
      <w:pPr>
        <w:pStyle w:val="35"/>
        <w:adjustRightInd w:val="0"/>
        <w:snapToGrid w:val="0"/>
        <w:spacing w:line="46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9、</w:t>
      </w:r>
      <w:r>
        <w:rPr>
          <w:rFonts w:ascii="仿宋_GB2312" w:eastAsia="仿宋_GB2312"/>
          <w:snapToGrid w:val="0"/>
          <w:sz w:val="28"/>
          <w:szCs w:val="28"/>
        </w:rPr>
        <w:t>本报告必须完整使用方为有效，</w:t>
      </w:r>
      <w:r>
        <w:rPr>
          <w:rFonts w:hint="eastAsia" w:ascii="仿宋_GB2312" w:eastAsia="仿宋_GB2312"/>
          <w:snapToGrid w:val="0"/>
          <w:sz w:val="28"/>
          <w:szCs w:val="28"/>
        </w:rPr>
        <w:t>本估价报告含若干附件，与报告书正文具同等法律效力，不可分割对待。</w:t>
      </w:r>
      <w:r>
        <w:rPr>
          <w:rFonts w:ascii="仿宋_GB2312" w:eastAsia="仿宋_GB2312"/>
          <w:snapToGrid w:val="0"/>
          <w:sz w:val="28"/>
          <w:szCs w:val="28"/>
        </w:rPr>
        <w:t>对使用本报告中的部分内容导致的可能发生的损失，受托机构不承担责任。</w:t>
      </w:r>
      <w:r>
        <w:rPr>
          <w:rFonts w:hint="eastAsia" w:ascii="仿宋_GB2312" w:eastAsia="仿宋_GB2312"/>
          <w:snapToGrid w:val="0"/>
          <w:sz w:val="28"/>
          <w:szCs w:val="28"/>
        </w:rPr>
        <w:t>同时未经我公司书面同意，本估价报告全部或部分内容不得公开发表，也不得向相关登记或备案部门以外的单位或个人提供。</w:t>
      </w:r>
    </w:p>
    <w:p>
      <w:pPr>
        <w:pStyle w:val="35"/>
        <w:adjustRightInd w:val="0"/>
        <w:snapToGrid w:val="0"/>
        <w:spacing w:line="44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10、财产拍卖或变卖之日与价值时点不一致，可能导致评估结果对应的评估对象状况、房地产市场状况、欠缴税费状况等于财产拍卖或变卖时的相应状况不一致，发生明显变化的，评估结果应当进行相应调整后方可使用。本次评估是基于上述假设和限制条件成立的，如以上假设和限制条件发生变化，本报告结果必须作相应调整。</w:t>
      </w:r>
    </w:p>
    <w:p>
      <w:pPr>
        <w:pStyle w:val="35"/>
        <w:adjustRightInd w:val="0"/>
        <w:snapToGrid w:val="0"/>
        <w:spacing w:line="44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11、本报告书含若干附件，与报告书正文具同等效力，不可分割对待。</w:t>
      </w:r>
    </w:p>
    <w:p>
      <w:pPr>
        <w:pStyle w:val="35"/>
        <w:adjustRightInd w:val="0"/>
        <w:snapToGrid w:val="0"/>
        <w:spacing w:line="440" w:lineRule="exact"/>
        <w:ind w:firstLine="505" w:firstLineChars="150"/>
        <w:rPr>
          <w:rFonts w:ascii="仿宋_GB2312" w:eastAsia="仿宋_GB2312"/>
          <w:snapToGrid w:val="0"/>
          <w:sz w:val="28"/>
          <w:szCs w:val="28"/>
        </w:rPr>
      </w:pPr>
      <w:r>
        <w:rPr>
          <w:rFonts w:hint="eastAsia" w:ascii="仿宋_GB2312" w:eastAsia="仿宋_GB2312"/>
          <w:snapToGrid w:val="0"/>
          <w:sz w:val="28"/>
          <w:szCs w:val="28"/>
        </w:rPr>
        <w:t>12、评估结果仅为人民法院确定财产处置参考价服务，不是评估对象处置可实现的成交价格，也不应当被视为对评估对象处置成交价格的保证。估价对象经拍卖成交后办证、过户过程应缴纳的税、费、金以及其他费用等款项，应以有关政府职能部门核定结果为准，因此</w:t>
      </w:r>
      <w:r>
        <w:rPr>
          <w:rFonts w:hint="eastAsia" w:ascii="仿宋_GB2312" w:eastAsia="仿宋_GB2312"/>
          <w:b/>
          <w:bCs/>
          <w:snapToGrid w:val="0"/>
          <w:sz w:val="28"/>
          <w:szCs w:val="28"/>
        </w:rPr>
        <w:t>特别提醒</w:t>
      </w:r>
      <w:r>
        <w:rPr>
          <w:rFonts w:hint="eastAsia" w:ascii="仿宋_GB2312" w:eastAsia="仿宋_GB2312"/>
          <w:snapToGrid w:val="0"/>
          <w:sz w:val="28"/>
          <w:szCs w:val="28"/>
        </w:rPr>
        <w:t>请报告使用人及竞买人注意。</w:t>
      </w:r>
    </w:p>
    <w:p>
      <w:pPr>
        <w:pStyle w:val="3"/>
        <w:spacing w:before="120" w:after="240" w:line="240" w:lineRule="atLeast"/>
        <w:rPr>
          <w:rFonts w:hint="eastAsia" w:ascii="黑体" w:hAnsi="Times New Roman" w:eastAsia="黑体" w:cs="Times New Roman"/>
          <w:snapToGrid w:val="0"/>
          <w:kern w:val="0"/>
          <w:sz w:val="44"/>
          <w:szCs w:val="44"/>
        </w:rPr>
      </w:pPr>
      <w:bookmarkStart w:id="31" w:name="_Toc9984"/>
      <w:r>
        <w:rPr>
          <w:rFonts w:hint="eastAsia" w:ascii="黑体" w:hAnsi="Times New Roman" w:eastAsia="黑体" w:cs="Times New Roman"/>
          <w:snapToGrid w:val="0"/>
          <w:kern w:val="0"/>
          <w:sz w:val="44"/>
          <w:szCs w:val="44"/>
        </w:rPr>
        <w:t>估价结果报告</w:t>
      </w:r>
      <w:bookmarkEnd w:id="31"/>
    </w:p>
    <w:p>
      <w:pPr>
        <w:pStyle w:val="3"/>
        <w:spacing w:line="360" w:lineRule="auto"/>
        <w:jc w:val="left"/>
        <w:rPr>
          <w:rFonts w:ascii="黑体" w:eastAsia="黑体"/>
          <w:snapToGrid w:val="0"/>
          <w:kern w:val="0"/>
          <w:sz w:val="30"/>
          <w:szCs w:val="30"/>
        </w:rPr>
      </w:pPr>
      <w:bookmarkStart w:id="32" w:name="_Toc31961"/>
      <w:r>
        <w:rPr>
          <w:rFonts w:hint="eastAsia" w:ascii="黑体" w:eastAsia="黑体"/>
          <w:snapToGrid w:val="0"/>
          <w:kern w:val="0"/>
          <w:sz w:val="30"/>
          <w:szCs w:val="30"/>
        </w:rPr>
        <w:t>（一）估价委托人</w:t>
      </w:r>
      <w:bookmarkEnd w:id="32"/>
    </w:p>
    <w:p>
      <w:pPr>
        <w:pStyle w:val="35"/>
        <w:adjustRightInd w:val="0"/>
        <w:snapToGrid w:val="0"/>
        <w:ind w:firstLine="505" w:firstLineChars="150"/>
        <w:rPr>
          <w:rFonts w:hint="eastAsia" w:ascii="仿宋_GB2312" w:eastAsia="仿宋_GB2312"/>
          <w:snapToGrid w:val="0"/>
          <w:sz w:val="28"/>
          <w:szCs w:val="28"/>
          <w:lang w:eastAsia="zh-CN"/>
        </w:rPr>
      </w:pPr>
      <w:r>
        <w:rPr>
          <w:rFonts w:hint="eastAsia" w:ascii="仿宋_GB2312" w:eastAsia="仿宋_GB2312"/>
          <w:snapToGrid w:val="0"/>
          <w:sz w:val="28"/>
          <w:szCs w:val="28"/>
        </w:rPr>
        <w:t>单位：</w:t>
      </w:r>
      <w:r>
        <w:rPr>
          <w:rFonts w:hint="eastAsia" w:ascii="仿宋_GB2312" w:eastAsia="仿宋_GB2312"/>
          <w:snapToGrid w:val="0"/>
          <w:sz w:val="28"/>
          <w:szCs w:val="28"/>
          <w:lang w:eastAsia="zh-CN"/>
        </w:rPr>
        <w:t>汕头市中级人民法院</w:t>
      </w:r>
    </w:p>
    <w:p>
      <w:pPr>
        <w:pStyle w:val="3"/>
        <w:spacing w:line="360" w:lineRule="auto"/>
        <w:jc w:val="left"/>
        <w:rPr>
          <w:rFonts w:ascii="黑体" w:eastAsia="黑体"/>
          <w:snapToGrid w:val="0"/>
          <w:kern w:val="0"/>
          <w:sz w:val="30"/>
          <w:szCs w:val="30"/>
        </w:rPr>
      </w:pPr>
      <w:bookmarkStart w:id="33" w:name="_Toc25022"/>
      <w:r>
        <w:rPr>
          <w:rFonts w:hint="eastAsia" w:ascii="黑体" w:eastAsia="黑体"/>
          <w:snapToGrid w:val="0"/>
          <w:kern w:val="0"/>
          <w:sz w:val="30"/>
          <w:szCs w:val="30"/>
        </w:rPr>
        <w:t>（二）估价机构</w:t>
      </w:r>
      <w:bookmarkEnd w:id="33"/>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深圳市国咨土地房地产资产评估有限公司</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法定代表人：龚伟平</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汕头分公司负责人：陶伟</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资质等级：国家一级房地产价格评估机构</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证书编号：粤房估备字壹0200039</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地    址：深圳市福田区深南中路国际科技大厦31楼</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电    话：0755-83279666</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汕头分公司地址：汕头市中环大厦25F</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电    话：0754-88541558</w:t>
      </w:r>
    </w:p>
    <w:p>
      <w:pPr>
        <w:pStyle w:val="3"/>
        <w:spacing w:line="360" w:lineRule="auto"/>
        <w:jc w:val="left"/>
        <w:rPr>
          <w:rFonts w:ascii="黑体" w:eastAsia="黑体"/>
          <w:snapToGrid w:val="0"/>
          <w:kern w:val="0"/>
          <w:sz w:val="30"/>
          <w:szCs w:val="30"/>
        </w:rPr>
      </w:pPr>
      <w:bookmarkStart w:id="34" w:name="_Toc28337"/>
      <w:r>
        <w:rPr>
          <w:rFonts w:hint="eastAsia" w:ascii="黑体" w:eastAsia="黑体"/>
          <w:snapToGrid w:val="0"/>
          <w:kern w:val="0"/>
          <w:sz w:val="30"/>
          <w:szCs w:val="30"/>
        </w:rPr>
        <w:t>（三）估价对象</w:t>
      </w:r>
      <w:bookmarkEnd w:id="34"/>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估价对象概况：</w:t>
      </w:r>
    </w:p>
    <w:p>
      <w:pPr>
        <w:pStyle w:val="35"/>
        <w:adjustRightInd w:val="0"/>
        <w:snapToGrid w:val="0"/>
        <w:ind w:firstLine="505" w:firstLineChars="150"/>
        <w:rPr>
          <w:rFonts w:ascii="仿宋_GB2312" w:eastAsia="仿宋_GB2312"/>
          <w:snapToGrid w:val="0"/>
          <w:color w:val="000000"/>
          <w:sz w:val="28"/>
          <w:szCs w:val="28"/>
        </w:rPr>
      </w:pPr>
      <w:r>
        <w:rPr>
          <w:rFonts w:hint="eastAsia" w:ascii="仿宋_GB2312" w:eastAsia="仿宋_GB2312"/>
          <w:snapToGrid w:val="0"/>
          <w:color w:val="000000"/>
          <w:sz w:val="28"/>
          <w:szCs w:val="28"/>
        </w:rPr>
        <w:t>估价对象为</w:t>
      </w:r>
      <w:r>
        <w:rPr>
          <w:rFonts w:hint="eastAsia" w:ascii="仿宋_GB2312" w:eastAsia="仿宋_GB2312"/>
          <w:snapToGrid w:val="0"/>
          <w:color w:val="000000"/>
          <w:sz w:val="28"/>
          <w:szCs w:val="28"/>
          <w:lang w:eastAsia="zh-CN"/>
        </w:rPr>
        <w:t>揭阳市惠来县惠城镇葵阳对外工业区家用电器厂</w:t>
      </w:r>
      <w:r>
        <w:rPr>
          <w:rFonts w:hint="eastAsia" w:ascii="仿宋_GB2312" w:eastAsia="仿宋_GB2312"/>
          <w:snapToGrid w:val="0"/>
          <w:color w:val="000000"/>
          <w:sz w:val="28"/>
          <w:szCs w:val="28"/>
        </w:rPr>
        <w:t>，建筑面积为</w:t>
      </w:r>
      <w:r>
        <w:rPr>
          <w:rFonts w:hint="eastAsia" w:ascii="仿宋_GB2312" w:eastAsia="仿宋_GB2312"/>
          <w:snapToGrid w:val="0"/>
          <w:color w:val="000000"/>
          <w:sz w:val="28"/>
          <w:szCs w:val="28"/>
          <w:lang w:eastAsia="zh-CN"/>
        </w:rPr>
        <w:t>3563.7</w:t>
      </w:r>
      <w:r>
        <w:rPr>
          <w:rFonts w:hint="eastAsia" w:ascii="仿宋_GB2312" w:eastAsia="仿宋_GB2312"/>
          <w:snapToGrid w:val="0"/>
          <w:color w:val="000000"/>
          <w:sz w:val="28"/>
          <w:szCs w:val="28"/>
        </w:rPr>
        <w:t>㎡，根据委托方提供的《</w:t>
      </w:r>
      <w:r>
        <w:rPr>
          <w:rFonts w:hint="eastAsia" w:ascii="仿宋_GB2312" w:eastAsia="仿宋_GB2312"/>
          <w:snapToGrid w:val="0"/>
          <w:color w:val="000000"/>
          <w:sz w:val="28"/>
          <w:szCs w:val="28"/>
          <w:lang w:eastAsia="zh-CN"/>
        </w:rPr>
        <w:t>房屋所有权证</w:t>
      </w:r>
      <w:r>
        <w:rPr>
          <w:rFonts w:hint="eastAsia" w:ascii="仿宋_GB2312" w:eastAsia="仿宋_GB2312"/>
          <w:snapToGrid w:val="0"/>
          <w:color w:val="000000"/>
          <w:sz w:val="28"/>
          <w:szCs w:val="28"/>
        </w:rPr>
        <w:t>》</w:t>
      </w:r>
      <w:r>
        <w:rPr>
          <w:rFonts w:hint="eastAsia" w:ascii="仿宋_GB2312" w:eastAsia="仿宋_GB2312"/>
          <w:snapToGrid w:val="0"/>
          <w:color w:val="000000"/>
          <w:sz w:val="28"/>
          <w:szCs w:val="28"/>
          <w:lang w:eastAsia="zh-CN"/>
        </w:rPr>
        <w:t>粤房字第0944739号及其他资料</w:t>
      </w:r>
      <w:r>
        <w:rPr>
          <w:rFonts w:hint="eastAsia" w:ascii="仿宋_GB2312" w:eastAsia="仿宋_GB2312"/>
          <w:snapToGrid w:val="0"/>
          <w:color w:val="000000"/>
          <w:sz w:val="28"/>
          <w:szCs w:val="28"/>
        </w:rPr>
        <w:t>记载，</w:t>
      </w:r>
      <w:r>
        <w:rPr>
          <w:rFonts w:hint="eastAsia" w:ascii="仿宋_GB2312" w:eastAsia="仿宋_GB2312"/>
          <w:snapToGrid w:val="0"/>
          <w:color w:val="000000"/>
          <w:sz w:val="28"/>
          <w:szCs w:val="28"/>
          <w:lang w:eastAsia="zh-CN"/>
        </w:rPr>
        <w:t>房屋实际竣工日期为</w:t>
      </w:r>
      <w:r>
        <w:rPr>
          <w:rFonts w:hint="eastAsia" w:ascii="仿宋_GB2312" w:eastAsia="仿宋_GB2312"/>
          <w:snapToGrid w:val="0"/>
          <w:color w:val="000000"/>
          <w:sz w:val="28"/>
          <w:szCs w:val="28"/>
          <w:lang w:val="en-US" w:eastAsia="zh-CN"/>
        </w:rPr>
        <w:t>1988年7月28日</w:t>
      </w:r>
      <w:r>
        <w:rPr>
          <w:rFonts w:hint="eastAsia" w:ascii="仿宋_GB2312" w:eastAsia="仿宋_GB2312"/>
          <w:snapToGrid w:val="0"/>
          <w:color w:val="000000"/>
          <w:sz w:val="28"/>
          <w:szCs w:val="28"/>
        </w:rPr>
        <w:t>，建筑结构为钢筋混凝土结构，层数为</w:t>
      </w:r>
      <w:r>
        <w:rPr>
          <w:rFonts w:hint="eastAsia" w:ascii="仿宋_GB2312" w:eastAsia="仿宋_GB2312"/>
          <w:snapToGrid w:val="0"/>
          <w:color w:val="000000"/>
          <w:sz w:val="28"/>
          <w:szCs w:val="28"/>
          <w:lang w:val="en-US" w:eastAsia="zh-CN"/>
        </w:rPr>
        <w:t>4</w:t>
      </w:r>
      <w:r>
        <w:rPr>
          <w:rFonts w:hint="eastAsia" w:ascii="仿宋_GB2312" w:eastAsia="仿宋_GB2312"/>
          <w:snapToGrid w:val="0"/>
          <w:color w:val="000000"/>
          <w:sz w:val="28"/>
          <w:szCs w:val="28"/>
        </w:rPr>
        <w:t>层，目前使用中，维护和保养状况</w:t>
      </w:r>
      <w:r>
        <w:rPr>
          <w:rFonts w:hint="eastAsia" w:ascii="仿宋_GB2312" w:eastAsia="仿宋_GB2312"/>
          <w:snapToGrid w:val="0"/>
          <w:color w:val="000000"/>
          <w:sz w:val="28"/>
          <w:szCs w:val="28"/>
          <w:lang w:val="en-US" w:eastAsia="zh-CN"/>
        </w:rPr>
        <w:t>一般</w:t>
      </w:r>
      <w:r>
        <w:rPr>
          <w:rFonts w:hint="eastAsia" w:ascii="仿宋_GB2312" w:eastAsia="仿宋_GB2312"/>
          <w:snapToGrid w:val="0"/>
          <w:color w:val="000000"/>
          <w:sz w:val="28"/>
          <w:szCs w:val="28"/>
        </w:rPr>
        <w:t>。</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1、估价对象位置状况</w:t>
      </w:r>
    </w:p>
    <w:tbl>
      <w:tblPr>
        <w:tblStyle w:val="45"/>
        <w:tblW w:w="9807" w:type="dxa"/>
        <w:jc w:val="center"/>
        <w:tblLayout w:type="fixed"/>
        <w:tblCellMar>
          <w:top w:w="0" w:type="dxa"/>
          <w:left w:w="30" w:type="dxa"/>
          <w:bottom w:w="0" w:type="dxa"/>
          <w:right w:w="30" w:type="dxa"/>
        </w:tblCellMar>
      </w:tblPr>
      <w:tblGrid>
        <w:gridCol w:w="2245"/>
        <w:gridCol w:w="7562"/>
      </w:tblGrid>
      <w:tr>
        <w:tblPrEx>
          <w:tblCellMar>
            <w:top w:w="0" w:type="dxa"/>
            <w:left w:w="30" w:type="dxa"/>
            <w:bottom w:w="0" w:type="dxa"/>
            <w:right w:w="30" w:type="dxa"/>
          </w:tblCellMar>
        </w:tblPrEx>
        <w:trPr>
          <w:cantSplit/>
          <w:trHeight w:val="412"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估价对象名称</w:t>
            </w:r>
          </w:p>
        </w:tc>
        <w:tc>
          <w:tcPr>
            <w:tcW w:w="7562" w:type="dxa"/>
            <w:tcBorders>
              <w:top w:val="single" w:color="auto" w:sz="6" w:space="0"/>
              <w:left w:val="nil"/>
              <w:bottom w:val="single" w:color="auto" w:sz="6" w:space="0"/>
              <w:right w:val="single" w:color="auto" w:sz="6" w:space="0"/>
            </w:tcBorders>
            <w:vAlign w:val="center"/>
          </w:tcPr>
          <w:p>
            <w:pPr>
              <w:pStyle w:val="23"/>
              <w:tabs>
                <w:tab w:val="left" w:pos="0"/>
              </w:tabs>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rPr>
              <w:t>揭阳市惠来县惠城镇葵阳对外工业区家用电器厂</w:t>
            </w:r>
          </w:p>
        </w:tc>
      </w:tr>
      <w:tr>
        <w:tblPrEx>
          <w:tblCellMar>
            <w:top w:w="0" w:type="dxa"/>
            <w:left w:w="30" w:type="dxa"/>
            <w:bottom w:w="0" w:type="dxa"/>
            <w:right w:w="30" w:type="dxa"/>
          </w:tblCellMar>
        </w:tblPrEx>
        <w:trPr>
          <w:cantSplit/>
          <w:trHeight w:val="502"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地理位置</w:t>
            </w:r>
          </w:p>
        </w:tc>
        <w:tc>
          <w:tcPr>
            <w:tcW w:w="7562" w:type="dxa"/>
            <w:tcBorders>
              <w:top w:val="single" w:color="auto" w:sz="6" w:space="0"/>
              <w:left w:val="nil"/>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估价对象位于揭阳市惠来县惠城镇葵阳对外工业区家用电器厂，</w:t>
            </w:r>
            <w:r>
              <w:rPr>
                <w:rFonts w:hint="eastAsia" w:ascii="仿宋_GB2312" w:hAnsi="宋体" w:eastAsia="仿宋_GB2312"/>
                <w:snapToGrid w:val="0"/>
                <w:kern w:val="0"/>
                <w:sz w:val="24"/>
                <w:szCs w:val="24"/>
                <w:lang w:eastAsia="zh-CN"/>
              </w:rPr>
              <w:t>东至惠神南路，北靠葵和大道</w:t>
            </w:r>
            <w:r>
              <w:rPr>
                <w:rFonts w:hint="eastAsia" w:ascii="仿宋_GB2312" w:hAnsi="宋体" w:eastAsia="仿宋_GB2312"/>
                <w:snapToGrid w:val="0"/>
                <w:kern w:val="0"/>
                <w:sz w:val="24"/>
                <w:szCs w:val="24"/>
              </w:rPr>
              <w:t>，地理位置一般。</w:t>
            </w:r>
          </w:p>
        </w:tc>
      </w:tr>
      <w:tr>
        <w:tblPrEx>
          <w:tblCellMar>
            <w:top w:w="0" w:type="dxa"/>
            <w:left w:w="30" w:type="dxa"/>
            <w:bottom w:w="0" w:type="dxa"/>
            <w:right w:w="30" w:type="dxa"/>
          </w:tblCellMar>
        </w:tblPrEx>
        <w:trPr>
          <w:cantSplit/>
          <w:trHeight w:val="558"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道路通达度</w:t>
            </w:r>
          </w:p>
        </w:tc>
        <w:tc>
          <w:tcPr>
            <w:tcW w:w="7562" w:type="dxa"/>
            <w:tcBorders>
              <w:top w:val="single" w:color="auto" w:sz="6" w:space="0"/>
              <w:left w:val="nil"/>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估价对象主要通过区间路出入。</w:t>
            </w:r>
          </w:p>
        </w:tc>
      </w:tr>
      <w:tr>
        <w:tblPrEx>
          <w:tblCellMar>
            <w:top w:w="0" w:type="dxa"/>
            <w:left w:w="30" w:type="dxa"/>
            <w:bottom w:w="0" w:type="dxa"/>
            <w:right w:w="30" w:type="dxa"/>
          </w:tblCellMar>
        </w:tblPrEx>
        <w:trPr>
          <w:cantSplit/>
          <w:trHeight w:val="410"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交通便捷度</w:t>
            </w:r>
          </w:p>
        </w:tc>
        <w:tc>
          <w:tcPr>
            <w:tcW w:w="7562" w:type="dxa"/>
            <w:tcBorders>
              <w:top w:val="single" w:color="auto" w:sz="6" w:space="0"/>
              <w:left w:val="nil"/>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估价对象交通方便，附近有惠来3路、惠来4路等公交车通达。</w:t>
            </w:r>
          </w:p>
        </w:tc>
      </w:tr>
      <w:tr>
        <w:tblPrEx>
          <w:tblCellMar>
            <w:top w:w="0" w:type="dxa"/>
            <w:left w:w="30" w:type="dxa"/>
            <w:bottom w:w="0" w:type="dxa"/>
            <w:right w:w="30" w:type="dxa"/>
          </w:tblCellMar>
        </w:tblPrEx>
        <w:trPr>
          <w:cantSplit/>
          <w:trHeight w:val="544"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公共配套情况</w:t>
            </w:r>
          </w:p>
        </w:tc>
        <w:tc>
          <w:tcPr>
            <w:tcW w:w="7562" w:type="dxa"/>
            <w:tcBorders>
              <w:top w:val="single" w:color="auto" w:sz="6" w:space="0"/>
              <w:left w:val="nil"/>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周围分布有学校、市场、银行等公共配套设施和生活设施较完善。</w:t>
            </w:r>
          </w:p>
        </w:tc>
      </w:tr>
      <w:tr>
        <w:tblPrEx>
          <w:tblCellMar>
            <w:top w:w="0" w:type="dxa"/>
            <w:left w:w="30" w:type="dxa"/>
            <w:bottom w:w="0" w:type="dxa"/>
            <w:right w:w="30" w:type="dxa"/>
          </w:tblCellMar>
        </w:tblPrEx>
        <w:trPr>
          <w:cantSplit/>
          <w:trHeight w:val="407"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基础设施完善度</w:t>
            </w:r>
          </w:p>
        </w:tc>
        <w:tc>
          <w:tcPr>
            <w:tcW w:w="7562" w:type="dxa"/>
            <w:tcBorders>
              <w:top w:val="single" w:color="auto" w:sz="6" w:space="0"/>
              <w:left w:val="nil"/>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周边公共配套设施较为齐全。</w:t>
            </w:r>
          </w:p>
        </w:tc>
      </w:tr>
    </w:tbl>
    <w:p>
      <w:pPr>
        <w:pStyle w:val="35"/>
        <w:adjustRightInd w:val="0"/>
        <w:snapToGrid w:val="0"/>
        <w:ind w:firstLine="505" w:firstLineChars="150"/>
        <w:rPr>
          <w:rFonts w:ascii="仿宋_GB2312" w:eastAsia="仿宋_GB2312"/>
          <w:snapToGrid w:val="0"/>
          <w:sz w:val="28"/>
          <w:szCs w:val="28"/>
        </w:rPr>
      </w:pP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2、估价对象实物状况</w:t>
      </w:r>
    </w:p>
    <w:tbl>
      <w:tblPr>
        <w:tblStyle w:val="45"/>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755"/>
        <w:gridCol w:w="2454"/>
        <w:gridCol w:w="120"/>
        <w:gridCol w:w="215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估价对象名称</w:t>
            </w:r>
          </w:p>
        </w:tc>
        <w:tc>
          <w:tcPr>
            <w:tcW w:w="7569" w:type="dxa"/>
            <w:gridSpan w:val="4"/>
            <w:vAlign w:val="center"/>
          </w:tcPr>
          <w:p>
            <w:pPr>
              <w:widowControl/>
              <w:jc w:val="center"/>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rPr>
              <w:t>揭阳市惠来县惠城镇葵阳对外工业区家用电器厂</w:t>
            </w:r>
          </w:p>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val="en-US" w:eastAsia="zh-CN"/>
              </w:rPr>
              <w:t>其中：</w:t>
            </w:r>
            <w:r>
              <w:rPr>
                <w:rFonts w:hint="eastAsia" w:ascii="仿宋_GB2312" w:hAnsi="宋体" w:eastAsia="仿宋_GB2312"/>
                <w:snapToGrid w:val="0"/>
                <w:kern w:val="0"/>
                <w:sz w:val="24"/>
                <w:szCs w:val="24"/>
                <w:lang w:eastAsia="zh-CN"/>
              </w:rPr>
              <w:t>南楼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建筑面积</w:t>
            </w:r>
          </w:p>
        </w:tc>
        <w:tc>
          <w:tcPr>
            <w:tcW w:w="257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val="en-US" w:eastAsia="zh-CN"/>
              </w:rPr>
              <w:t>1953.7</w:t>
            </w:r>
            <w:r>
              <w:rPr>
                <w:rFonts w:hint="eastAsia" w:ascii="仿宋_GB2312" w:hAnsi="宋体" w:eastAsia="仿宋_GB2312"/>
                <w:snapToGrid w:val="0"/>
                <w:kern w:val="0"/>
                <w:sz w:val="24"/>
                <w:szCs w:val="24"/>
              </w:rPr>
              <w:t>㎡</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建筑结构</w:t>
            </w:r>
          </w:p>
        </w:tc>
        <w:tc>
          <w:tcPr>
            <w:tcW w:w="2843"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钢筋混凝土结构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楼层</w:t>
            </w:r>
          </w:p>
        </w:tc>
        <w:tc>
          <w:tcPr>
            <w:tcW w:w="257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共4层</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评估房号</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全幢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采光</w:t>
            </w:r>
          </w:p>
        </w:tc>
        <w:tc>
          <w:tcPr>
            <w:tcW w:w="2574" w:type="dxa"/>
            <w:gridSpan w:val="2"/>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rPr>
              <w:t>较好</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景观</w:t>
            </w:r>
          </w:p>
        </w:tc>
        <w:tc>
          <w:tcPr>
            <w:tcW w:w="2843" w:type="dxa"/>
            <w:vAlign w:val="center"/>
          </w:tcPr>
          <w:p>
            <w:pPr>
              <w:widowControl/>
              <w:jc w:val="center"/>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4" w:type="dxa"/>
            <w:gridSpan w:val="2"/>
            <w:vAlign w:val="center"/>
          </w:tcPr>
          <w:p>
            <w:pPr>
              <w:widowControl/>
              <w:jc w:val="center"/>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lang w:eastAsia="zh-CN"/>
              </w:rPr>
              <w:t>所有权性质</w:t>
            </w:r>
          </w:p>
        </w:tc>
        <w:tc>
          <w:tcPr>
            <w:tcW w:w="2574" w:type="dxa"/>
            <w:gridSpan w:val="2"/>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全民</w:t>
            </w:r>
          </w:p>
        </w:tc>
        <w:tc>
          <w:tcPr>
            <w:tcW w:w="2152" w:type="dxa"/>
            <w:vAlign w:val="center"/>
          </w:tcPr>
          <w:p>
            <w:pPr>
              <w:widowControl/>
              <w:ind w:right="-384" w:rightChars="-144"/>
              <w:jc w:val="center"/>
              <w:rPr>
                <w:rFonts w:hint="eastAsia" w:ascii="仿宋_GB2312" w:hAnsi="宋体" w:eastAsia="仿宋_GB2312"/>
                <w:snapToGrid w:val="0"/>
                <w:kern w:val="0"/>
                <w:sz w:val="24"/>
                <w:szCs w:val="24"/>
                <w:lang w:val="en-US" w:eastAsia="zh-CN"/>
              </w:rPr>
            </w:pPr>
            <w:r>
              <w:rPr>
                <w:rFonts w:hint="eastAsia" w:ascii="仿宋_GB2312" w:hAnsi="宋体" w:eastAsia="仿宋_GB2312"/>
                <w:snapToGrid w:val="0"/>
                <w:kern w:val="0"/>
                <w:sz w:val="24"/>
                <w:szCs w:val="24"/>
                <w:lang w:eastAsia="zh-CN"/>
              </w:rPr>
              <w:t>竣工日期</w:t>
            </w:r>
          </w:p>
        </w:tc>
        <w:tc>
          <w:tcPr>
            <w:tcW w:w="2843" w:type="dxa"/>
            <w:vAlign w:val="center"/>
          </w:tcPr>
          <w:p>
            <w:pPr>
              <w:widowControl/>
              <w:jc w:val="center"/>
              <w:rPr>
                <w:rFonts w:hint="default" w:ascii="仿宋_GB2312" w:hAnsi="宋体" w:eastAsia="仿宋_GB2312"/>
                <w:snapToGrid w:val="0"/>
                <w:kern w:val="0"/>
                <w:sz w:val="24"/>
                <w:szCs w:val="24"/>
                <w:lang w:val="en-US" w:eastAsia="zh-CN"/>
              </w:rPr>
            </w:pPr>
            <w:r>
              <w:rPr>
                <w:rFonts w:hint="eastAsia" w:ascii="仿宋_GB2312" w:hAnsi="宋体" w:eastAsia="仿宋_GB2312"/>
                <w:snapToGrid w:val="0"/>
                <w:kern w:val="0"/>
                <w:sz w:val="24"/>
                <w:szCs w:val="24"/>
                <w:lang w:val="en-US" w:eastAsia="zh-CN"/>
              </w:rPr>
              <w:t>1988年7月28日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9" w:type="dxa"/>
            <w:vMerge w:val="restart"/>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装修情况</w:t>
            </w:r>
          </w:p>
        </w:tc>
        <w:tc>
          <w:tcPr>
            <w:tcW w:w="9324" w:type="dxa"/>
            <w:gridSpan w:val="5"/>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公共部分装修状况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外  墙</w:t>
            </w:r>
          </w:p>
        </w:tc>
        <w:tc>
          <w:tcPr>
            <w:tcW w:w="2454"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涂料</w:t>
            </w:r>
          </w:p>
        </w:tc>
        <w:tc>
          <w:tcPr>
            <w:tcW w:w="2272"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内   墙</w:t>
            </w:r>
          </w:p>
        </w:tc>
        <w:tc>
          <w:tcPr>
            <w:tcW w:w="2843"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rPr>
              <w:t>刷白</w:t>
            </w:r>
            <w:r>
              <w:rPr>
                <w:rFonts w:hint="eastAsia" w:ascii="仿宋_GB2312" w:hAnsi="宋体" w:eastAsia="仿宋_GB2312"/>
                <w:snapToGrid w:val="0"/>
                <w:kern w:val="0"/>
                <w:sz w:val="24"/>
                <w:szCs w:val="24"/>
                <w:lang w:eastAsia="zh-CN"/>
              </w:rPr>
              <w:t>及墙纸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天  花</w:t>
            </w:r>
          </w:p>
        </w:tc>
        <w:tc>
          <w:tcPr>
            <w:tcW w:w="2454" w:type="dxa"/>
            <w:vAlign w:val="center"/>
          </w:tcPr>
          <w:p>
            <w:pPr>
              <w:widowControl/>
              <w:jc w:val="center"/>
              <w:rPr>
                <w:rFonts w:hint="eastAsia" w:ascii="仿宋_GB2312" w:hAnsi="宋体" w:eastAsia="仿宋_GB2312"/>
                <w:snapToGrid w:val="0"/>
                <w:kern w:val="0"/>
                <w:sz w:val="24"/>
                <w:szCs w:val="24"/>
                <w:lang w:val="en-US" w:eastAsia="zh-CN"/>
              </w:rPr>
            </w:pPr>
            <w:r>
              <w:rPr>
                <w:rFonts w:hint="eastAsia" w:ascii="仿宋_GB2312" w:hAnsi="宋体" w:eastAsia="仿宋_GB2312"/>
                <w:snapToGrid w:val="0"/>
                <w:kern w:val="0"/>
                <w:sz w:val="24"/>
                <w:szCs w:val="24"/>
              </w:rPr>
              <w:t>刷白</w:t>
            </w:r>
            <w:r>
              <w:rPr>
                <w:rFonts w:hint="eastAsia" w:ascii="仿宋_GB2312" w:hAnsi="宋体" w:eastAsia="仿宋_GB2312"/>
                <w:snapToGrid w:val="0"/>
                <w:kern w:val="0"/>
                <w:sz w:val="24"/>
                <w:szCs w:val="24"/>
                <w:lang w:eastAsia="zh-CN"/>
              </w:rPr>
              <w:t>及吊顶</w:t>
            </w:r>
          </w:p>
        </w:tc>
        <w:tc>
          <w:tcPr>
            <w:tcW w:w="2272"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楼地面</w:t>
            </w:r>
          </w:p>
        </w:tc>
        <w:tc>
          <w:tcPr>
            <w:tcW w:w="2843"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val="en-US" w:eastAsia="zh-CN"/>
              </w:rPr>
              <w:t>1</w:t>
            </w:r>
            <w:r>
              <w:rPr>
                <w:rFonts w:hint="eastAsia" w:ascii="仿宋_GB2312" w:hAnsi="宋体" w:eastAsia="仿宋_GB2312"/>
                <w:snapToGrid w:val="0"/>
                <w:kern w:val="0"/>
                <w:sz w:val="24"/>
                <w:szCs w:val="24"/>
                <w:lang w:eastAsia="zh-CN"/>
              </w:rPr>
              <w:t>层停车场为</w:t>
            </w:r>
            <w:r>
              <w:rPr>
                <w:rFonts w:hint="eastAsia" w:ascii="仿宋_GB2312" w:hAnsi="宋体" w:eastAsia="仿宋_GB2312"/>
                <w:snapToGrid w:val="0"/>
                <w:kern w:val="0"/>
                <w:sz w:val="24"/>
                <w:szCs w:val="24"/>
              </w:rPr>
              <w:t>水泥地面</w:t>
            </w:r>
            <w:r>
              <w:rPr>
                <w:rFonts w:hint="eastAsia" w:ascii="仿宋_GB2312" w:hAnsi="宋体" w:eastAsia="仿宋_GB2312"/>
                <w:snapToGrid w:val="0"/>
                <w:kern w:val="0"/>
                <w:sz w:val="24"/>
                <w:szCs w:val="24"/>
                <w:lang w:eastAsia="zh-CN"/>
              </w:rPr>
              <w:t>、</w:t>
            </w:r>
            <w:r>
              <w:rPr>
                <w:rFonts w:hint="eastAsia" w:ascii="仿宋_GB2312" w:hAnsi="宋体" w:eastAsia="仿宋_GB2312"/>
                <w:snapToGrid w:val="0"/>
                <w:kern w:val="0"/>
                <w:sz w:val="24"/>
                <w:szCs w:val="24"/>
                <w:lang w:val="en-US" w:eastAsia="zh-CN"/>
              </w:rPr>
              <w:t>2-4层为</w:t>
            </w:r>
            <w:r>
              <w:rPr>
                <w:rFonts w:hint="eastAsia" w:ascii="仿宋_GB2312" w:hAnsi="宋体" w:eastAsia="仿宋_GB2312"/>
                <w:snapToGrid w:val="0"/>
                <w:kern w:val="0"/>
                <w:sz w:val="24"/>
                <w:szCs w:val="24"/>
                <w:lang w:eastAsia="zh-CN"/>
              </w:rPr>
              <w:t>地毯及地砖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门</w:t>
            </w:r>
          </w:p>
        </w:tc>
        <w:tc>
          <w:tcPr>
            <w:tcW w:w="2454" w:type="dxa"/>
            <w:vAlign w:val="center"/>
          </w:tcPr>
          <w:p>
            <w:pPr>
              <w:widowControl/>
              <w:jc w:val="center"/>
              <w:rPr>
                <w:rFonts w:hint="eastAsia" w:ascii="仿宋_GB2312" w:hAnsi="宋体" w:eastAsia="仿宋_GB2312"/>
                <w:snapToGrid w:val="0"/>
                <w:kern w:val="0"/>
                <w:sz w:val="24"/>
                <w:szCs w:val="24"/>
                <w:lang w:val="en-US" w:eastAsia="zh-CN"/>
              </w:rPr>
            </w:pPr>
            <w:r>
              <w:rPr>
                <w:rFonts w:hint="eastAsia" w:ascii="仿宋_GB2312" w:hAnsi="宋体" w:eastAsia="仿宋_GB2312"/>
                <w:snapToGrid w:val="0"/>
                <w:kern w:val="0"/>
                <w:sz w:val="24"/>
                <w:szCs w:val="24"/>
                <w:lang w:eastAsia="zh-CN"/>
              </w:rPr>
              <w:t>防盗门</w:t>
            </w:r>
          </w:p>
        </w:tc>
        <w:tc>
          <w:tcPr>
            <w:tcW w:w="2272"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窗</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铝合金窗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restart"/>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设施设备</w:t>
            </w: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水  电</w:t>
            </w:r>
          </w:p>
        </w:tc>
        <w:tc>
          <w:tcPr>
            <w:tcW w:w="2454" w:type="dxa"/>
            <w:vAlign w:val="center"/>
          </w:tcPr>
          <w:p>
            <w:pPr>
              <w:widowControl/>
              <w:jc w:val="center"/>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rPr>
              <w:t>暗设</w:t>
            </w:r>
          </w:p>
        </w:tc>
        <w:tc>
          <w:tcPr>
            <w:tcW w:w="2272"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电  梯</w:t>
            </w:r>
          </w:p>
        </w:tc>
        <w:tc>
          <w:tcPr>
            <w:tcW w:w="2843"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煤  气</w:t>
            </w:r>
          </w:p>
        </w:tc>
        <w:tc>
          <w:tcPr>
            <w:tcW w:w="245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c>
          <w:tcPr>
            <w:tcW w:w="2272"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消  防</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CN"/>
              </w:rPr>
              <w:t>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空  调</w:t>
            </w:r>
          </w:p>
        </w:tc>
        <w:tc>
          <w:tcPr>
            <w:tcW w:w="245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c>
          <w:tcPr>
            <w:tcW w:w="2272"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其它设备</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restart"/>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使用维护</w:t>
            </w:r>
          </w:p>
        </w:tc>
        <w:tc>
          <w:tcPr>
            <w:tcW w:w="1755"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现状用途</w:t>
            </w:r>
          </w:p>
        </w:tc>
        <w:tc>
          <w:tcPr>
            <w:tcW w:w="2454" w:type="dxa"/>
            <w:vAlign w:val="center"/>
          </w:tcPr>
          <w:p>
            <w:pPr>
              <w:widowControl/>
              <w:jc w:val="center"/>
              <w:rPr>
                <w:rFonts w:hint="eastAsia" w:ascii="仿宋_GB2312" w:hAnsi="宋体" w:eastAsia="仿宋_GB2312"/>
                <w:snapToGrid w:val="0"/>
                <w:kern w:val="0"/>
                <w:sz w:val="24"/>
                <w:szCs w:val="24"/>
                <w:lang w:val="en-US" w:eastAsia="zh-CN"/>
              </w:rPr>
            </w:pPr>
            <w:r>
              <w:rPr>
                <w:rFonts w:hint="eastAsia" w:ascii="仿宋_GB2312" w:hAnsi="宋体" w:eastAsia="仿宋_GB2312"/>
                <w:snapToGrid w:val="0"/>
                <w:kern w:val="0"/>
                <w:sz w:val="24"/>
                <w:szCs w:val="24"/>
                <w:lang w:eastAsia="zh-CN"/>
              </w:rPr>
              <w:t>酒店</w:t>
            </w:r>
          </w:p>
        </w:tc>
        <w:tc>
          <w:tcPr>
            <w:tcW w:w="2272"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成新度</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约</w:t>
            </w:r>
            <w:r>
              <w:rPr>
                <w:rFonts w:hint="eastAsia" w:ascii="仿宋_GB2312" w:hAnsi="宋体" w:eastAsia="仿宋_GB2312"/>
                <w:snapToGrid w:val="0"/>
                <w:kern w:val="0"/>
                <w:sz w:val="24"/>
                <w:szCs w:val="24"/>
                <w:lang w:eastAsia="zh-CN"/>
              </w:rPr>
              <w:t>七</w:t>
            </w:r>
            <w:r>
              <w:rPr>
                <w:rFonts w:hint="eastAsia" w:ascii="仿宋_GB2312" w:hAnsi="宋体" w:eastAsia="仿宋_GB2312"/>
                <w:snapToGrid w:val="0"/>
                <w:kern w:val="0"/>
                <w:sz w:val="24"/>
                <w:szCs w:val="24"/>
              </w:rPr>
              <w:t>成新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使用状况</w:t>
            </w:r>
          </w:p>
        </w:tc>
        <w:tc>
          <w:tcPr>
            <w:tcW w:w="7569" w:type="dxa"/>
            <w:gridSpan w:val="4"/>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color w:val="000000" w:themeColor="text1"/>
                <w:kern w:val="0"/>
                <w:sz w:val="24"/>
                <w:szCs w:val="24"/>
                <w14:textFill>
                  <w14:solidFill>
                    <w14:schemeClr w14:val="tx1"/>
                  </w14:solidFill>
                </w14:textFill>
              </w:rPr>
              <w:t>正在使用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维护与保养</w:t>
            </w:r>
          </w:p>
        </w:tc>
        <w:tc>
          <w:tcPr>
            <w:tcW w:w="7569" w:type="dxa"/>
            <w:gridSpan w:val="4"/>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color w:val="000000" w:themeColor="text1"/>
                <w:kern w:val="0"/>
                <w:sz w:val="24"/>
                <w:szCs w:val="24"/>
                <w:lang w:eastAsia="zh-CN"/>
                <w14:textFill>
                  <w14:solidFill>
                    <w14:schemeClr w14:val="tx1"/>
                  </w14:solidFill>
                </w14:textFill>
              </w:rPr>
              <w:t>一般</w:t>
            </w:r>
          </w:p>
        </w:tc>
      </w:tr>
    </w:tbl>
    <w:p>
      <w:pPr>
        <w:pStyle w:val="35"/>
        <w:adjustRightInd w:val="0"/>
        <w:snapToGrid w:val="0"/>
        <w:ind w:firstLine="505" w:firstLineChars="150"/>
        <w:rPr>
          <w:rFonts w:ascii="仿宋_GB2312" w:eastAsia="仿宋_GB2312"/>
          <w:snapToGrid w:val="0"/>
          <w:sz w:val="28"/>
          <w:szCs w:val="28"/>
        </w:rPr>
      </w:pPr>
    </w:p>
    <w:tbl>
      <w:tblPr>
        <w:tblStyle w:val="45"/>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755"/>
        <w:gridCol w:w="2454"/>
        <w:gridCol w:w="120"/>
        <w:gridCol w:w="2152"/>
        <w:gridCol w:w="128"/>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估价对象名称</w:t>
            </w:r>
          </w:p>
        </w:tc>
        <w:tc>
          <w:tcPr>
            <w:tcW w:w="7569" w:type="dxa"/>
            <w:gridSpan w:val="5"/>
            <w:vAlign w:val="center"/>
          </w:tcPr>
          <w:p>
            <w:pPr>
              <w:widowControl/>
              <w:jc w:val="center"/>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rPr>
              <w:t>揭阳市惠来县惠城镇葵阳对外工业区家用电器厂</w:t>
            </w:r>
          </w:p>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val="en-US" w:eastAsia="zh-CN"/>
              </w:rPr>
              <w:t>其中：北</w:t>
            </w:r>
            <w:r>
              <w:rPr>
                <w:rFonts w:hint="eastAsia" w:ascii="仿宋_GB2312" w:hAnsi="宋体" w:eastAsia="仿宋_GB2312"/>
                <w:snapToGrid w:val="0"/>
                <w:kern w:val="0"/>
                <w:sz w:val="24"/>
                <w:szCs w:val="24"/>
                <w:lang w:eastAsia="zh-CN"/>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建筑面积</w:t>
            </w:r>
          </w:p>
        </w:tc>
        <w:tc>
          <w:tcPr>
            <w:tcW w:w="257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val="en-US" w:eastAsia="zh-CN"/>
              </w:rPr>
              <w:t>1610</w:t>
            </w:r>
            <w:r>
              <w:rPr>
                <w:rFonts w:hint="eastAsia" w:ascii="仿宋_GB2312" w:hAnsi="宋体" w:eastAsia="仿宋_GB2312"/>
                <w:snapToGrid w:val="0"/>
                <w:kern w:val="0"/>
                <w:sz w:val="24"/>
                <w:szCs w:val="24"/>
              </w:rPr>
              <w:t>㎡</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建筑结构</w:t>
            </w:r>
          </w:p>
        </w:tc>
        <w:tc>
          <w:tcPr>
            <w:tcW w:w="2843"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CN"/>
              </w:rPr>
              <w:t>钢筋混凝土结构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楼层</w:t>
            </w:r>
          </w:p>
        </w:tc>
        <w:tc>
          <w:tcPr>
            <w:tcW w:w="257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共4层</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评估房号</w:t>
            </w:r>
          </w:p>
        </w:tc>
        <w:tc>
          <w:tcPr>
            <w:tcW w:w="2843"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全幢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采光</w:t>
            </w:r>
          </w:p>
        </w:tc>
        <w:tc>
          <w:tcPr>
            <w:tcW w:w="2574" w:type="dxa"/>
            <w:gridSpan w:val="2"/>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rPr>
              <w:t>较好</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景观</w:t>
            </w:r>
          </w:p>
        </w:tc>
        <w:tc>
          <w:tcPr>
            <w:tcW w:w="2843"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4" w:type="dxa"/>
            <w:gridSpan w:val="2"/>
            <w:vAlign w:val="center"/>
          </w:tcPr>
          <w:p>
            <w:pPr>
              <w:widowControl/>
              <w:jc w:val="center"/>
              <w:rPr>
                <w:rFonts w:ascii="仿宋_GB2312" w:hAnsi="宋体" w:eastAsia="仿宋_GB2312"/>
                <w:snapToGrid w:val="0"/>
                <w:color w:val="FF0000"/>
                <w:kern w:val="0"/>
                <w:sz w:val="24"/>
                <w:szCs w:val="24"/>
              </w:rPr>
            </w:pPr>
            <w:r>
              <w:rPr>
                <w:rFonts w:hint="eastAsia" w:ascii="仿宋_GB2312" w:hAnsi="宋体" w:eastAsia="仿宋_GB2312"/>
                <w:snapToGrid w:val="0"/>
                <w:kern w:val="0"/>
                <w:sz w:val="24"/>
                <w:szCs w:val="24"/>
                <w:lang w:eastAsia="zh-CN"/>
              </w:rPr>
              <w:t>所有权性质</w:t>
            </w:r>
          </w:p>
        </w:tc>
        <w:tc>
          <w:tcPr>
            <w:tcW w:w="2574" w:type="dxa"/>
            <w:gridSpan w:val="2"/>
            <w:vAlign w:val="center"/>
          </w:tcPr>
          <w:p>
            <w:pPr>
              <w:widowControl/>
              <w:jc w:val="center"/>
              <w:rPr>
                <w:rFonts w:hint="eastAsia" w:ascii="仿宋_GB2312" w:hAnsi="宋体" w:eastAsia="仿宋_GB2312"/>
                <w:snapToGrid w:val="0"/>
                <w:color w:val="FF0000"/>
                <w:kern w:val="0"/>
                <w:sz w:val="24"/>
                <w:szCs w:val="24"/>
                <w:lang w:eastAsia="zh-CN"/>
              </w:rPr>
            </w:pPr>
            <w:r>
              <w:rPr>
                <w:rFonts w:hint="eastAsia" w:ascii="仿宋_GB2312" w:hAnsi="宋体" w:eastAsia="仿宋_GB2312"/>
                <w:snapToGrid w:val="0"/>
                <w:kern w:val="0"/>
                <w:sz w:val="24"/>
                <w:szCs w:val="24"/>
                <w:lang w:eastAsia="zh-CN"/>
              </w:rPr>
              <w:t>全民</w:t>
            </w:r>
          </w:p>
        </w:tc>
        <w:tc>
          <w:tcPr>
            <w:tcW w:w="2152" w:type="dxa"/>
            <w:vAlign w:val="center"/>
          </w:tcPr>
          <w:p>
            <w:pPr>
              <w:widowControl/>
              <w:ind w:right="-384" w:rightChars="-144"/>
              <w:jc w:val="center"/>
              <w:rPr>
                <w:rFonts w:hint="default" w:ascii="仿宋_GB2312" w:hAnsi="宋体" w:eastAsia="仿宋_GB2312"/>
                <w:snapToGrid w:val="0"/>
                <w:kern w:val="0"/>
                <w:sz w:val="24"/>
                <w:szCs w:val="24"/>
                <w:lang w:val="en-US" w:eastAsia="zh-CN"/>
              </w:rPr>
            </w:pPr>
            <w:r>
              <w:rPr>
                <w:rFonts w:hint="eastAsia" w:ascii="仿宋_GB2312" w:hAnsi="宋体" w:eastAsia="仿宋_GB2312"/>
                <w:snapToGrid w:val="0"/>
                <w:kern w:val="0"/>
                <w:sz w:val="24"/>
                <w:szCs w:val="24"/>
                <w:lang w:eastAsia="zh-CN"/>
              </w:rPr>
              <w:t>竣工日期</w:t>
            </w:r>
          </w:p>
        </w:tc>
        <w:tc>
          <w:tcPr>
            <w:tcW w:w="2843" w:type="dxa"/>
            <w:gridSpan w:val="2"/>
            <w:vAlign w:val="center"/>
          </w:tcPr>
          <w:p>
            <w:pPr>
              <w:widowControl/>
              <w:jc w:val="center"/>
              <w:rPr>
                <w:rFonts w:hint="default" w:ascii="仿宋_GB2312" w:hAnsi="宋体" w:eastAsia="仿宋_GB2312"/>
                <w:snapToGrid w:val="0"/>
                <w:kern w:val="0"/>
                <w:sz w:val="24"/>
                <w:szCs w:val="24"/>
                <w:lang w:val="en-US" w:eastAsia="zh-CN"/>
              </w:rPr>
            </w:pPr>
            <w:r>
              <w:rPr>
                <w:rFonts w:hint="eastAsia" w:ascii="仿宋_GB2312" w:hAnsi="宋体" w:eastAsia="仿宋_GB2312"/>
                <w:snapToGrid w:val="0"/>
                <w:kern w:val="0"/>
                <w:sz w:val="24"/>
                <w:szCs w:val="24"/>
                <w:lang w:val="en-US" w:eastAsia="zh-CN"/>
              </w:rPr>
              <w:t>1988年7月28日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9" w:type="dxa"/>
            <w:vMerge w:val="restart"/>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装修情况</w:t>
            </w:r>
          </w:p>
        </w:tc>
        <w:tc>
          <w:tcPr>
            <w:tcW w:w="9324" w:type="dxa"/>
            <w:gridSpan w:val="6"/>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公共部分装修状况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外  墙</w:t>
            </w:r>
          </w:p>
        </w:tc>
        <w:tc>
          <w:tcPr>
            <w:tcW w:w="2454"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涂料</w:t>
            </w:r>
          </w:p>
        </w:tc>
        <w:tc>
          <w:tcPr>
            <w:tcW w:w="2400" w:type="dxa"/>
            <w:gridSpan w:val="3"/>
            <w:vAlign w:val="center"/>
          </w:tcPr>
          <w:p>
            <w:pPr>
              <w:widowControl/>
              <w:jc w:val="center"/>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rPr>
              <w:t>内   墙</w:t>
            </w:r>
          </w:p>
        </w:tc>
        <w:tc>
          <w:tcPr>
            <w:tcW w:w="2715"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rPr>
              <w:t>刷白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天  花</w:t>
            </w:r>
          </w:p>
        </w:tc>
        <w:tc>
          <w:tcPr>
            <w:tcW w:w="2454" w:type="dxa"/>
            <w:vAlign w:val="center"/>
          </w:tcPr>
          <w:p>
            <w:pPr>
              <w:widowControl/>
              <w:jc w:val="center"/>
              <w:rPr>
                <w:rFonts w:hint="eastAsia" w:ascii="仿宋_GB2312" w:hAnsi="宋体" w:eastAsia="仿宋_GB2312"/>
                <w:snapToGrid w:val="0"/>
                <w:kern w:val="0"/>
                <w:sz w:val="24"/>
                <w:szCs w:val="24"/>
                <w:lang w:val="en-US" w:eastAsia="zh-CN"/>
              </w:rPr>
            </w:pPr>
            <w:r>
              <w:rPr>
                <w:rFonts w:hint="eastAsia" w:ascii="仿宋_GB2312" w:hAnsi="宋体" w:eastAsia="仿宋_GB2312"/>
                <w:snapToGrid w:val="0"/>
                <w:kern w:val="0"/>
                <w:sz w:val="24"/>
                <w:szCs w:val="24"/>
              </w:rPr>
              <w:t>刷白</w:t>
            </w:r>
          </w:p>
        </w:tc>
        <w:tc>
          <w:tcPr>
            <w:tcW w:w="2400" w:type="dxa"/>
            <w:gridSpan w:val="3"/>
            <w:vAlign w:val="center"/>
          </w:tcPr>
          <w:p>
            <w:pPr>
              <w:widowControl/>
              <w:jc w:val="center"/>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rPr>
              <w:t>楼地面</w:t>
            </w:r>
          </w:p>
        </w:tc>
        <w:tc>
          <w:tcPr>
            <w:tcW w:w="2715"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rPr>
              <w:t>水泥地面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门</w:t>
            </w:r>
          </w:p>
        </w:tc>
        <w:tc>
          <w:tcPr>
            <w:tcW w:w="2454" w:type="dxa"/>
            <w:vAlign w:val="center"/>
          </w:tcPr>
          <w:p>
            <w:pPr>
              <w:widowControl/>
              <w:jc w:val="center"/>
              <w:rPr>
                <w:rFonts w:hint="eastAsia" w:ascii="仿宋_GB2312" w:hAnsi="宋体" w:eastAsia="仿宋_GB2312"/>
                <w:snapToGrid w:val="0"/>
                <w:kern w:val="0"/>
                <w:sz w:val="24"/>
                <w:szCs w:val="24"/>
                <w:lang w:val="en-US" w:eastAsia="zh-CN"/>
              </w:rPr>
            </w:pPr>
            <w:r>
              <w:rPr>
                <w:rFonts w:hint="eastAsia" w:ascii="仿宋_GB2312" w:hAnsi="宋体" w:eastAsia="仿宋_GB2312"/>
                <w:snapToGrid w:val="0"/>
                <w:kern w:val="0"/>
                <w:sz w:val="24"/>
                <w:szCs w:val="24"/>
                <w:lang w:eastAsia="zh-CN"/>
              </w:rPr>
              <w:t>铁门</w:t>
            </w:r>
          </w:p>
        </w:tc>
        <w:tc>
          <w:tcPr>
            <w:tcW w:w="2400" w:type="dxa"/>
            <w:gridSpan w:val="3"/>
            <w:vAlign w:val="center"/>
          </w:tcPr>
          <w:p>
            <w:pPr>
              <w:widowControl/>
              <w:jc w:val="center"/>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rPr>
              <w:t>窗</w:t>
            </w:r>
          </w:p>
        </w:tc>
        <w:tc>
          <w:tcPr>
            <w:tcW w:w="2715" w:type="dxa"/>
            <w:vAlign w:val="center"/>
          </w:tcPr>
          <w:p>
            <w:pPr>
              <w:widowControl/>
              <w:jc w:val="center"/>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rPr>
              <w:t>铝合金窗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restart"/>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设施设备</w:t>
            </w: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水  电</w:t>
            </w:r>
          </w:p>
        </w:tc>
        <w:tc>
          <w:tcPr>
            <w:tcW w:w="2454" w:type="dxa"/>
            <w:vAlign w:val="center"/>
          </w:tcPr>
          <w:p>
            <w:pPr>
              <w:widowControl/>
              <w:jc w:val="center"/>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rPr>
              <w:t>暗设</w:t>
            </w:r>
          </w:p>
        </w:tc>
        <w:tc>
          <w:tcPr>
            <w:tcW w:w="2400" w:type="dxa"/>
            <w:gridSpan w:val="3"/>
            <w:vAlign w:val="center"/>
          </w:tcPr>
          <w:p>
            <w:pPr>
              <w:widowControl/>
              <w:jc w:val="center"/>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rPr>
              <w:t>电  梯</w:t>
            </w:r>
          </w:p>
        </w:tc>
        <w:tc>
          <w:tcPr>
            <w:tcW w:w="2715"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煤  气</w:t>
            </w:r>
          </w:p>
        </w:tc>
        <w:tc>
          <w:tcPr>
            <w:tcW w:w="2454" w:type="dxa"/>
            <w:vAlign w:val="center"/>
          </w:tcPr>
          <w:p>
            <w:pPr>
              <w:widowControl/>
              <w:jc w:val="center"/>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c>
          <w:tcPr>
            <w:tcW w:w="2400" w:type="dxa"/>
            <w:gridSpan w:val="3"/>
            <w:vAlign w:val="center"/>
          </w:tcPr>
          <w:p>
            <w:pPr>
              <w:widowControl/>
              <w:jc w:val="center"/>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rPr>
              <w:t>消  防</w:t>
            </w:r>
          </w:p>
        </w:tc>
        <w:tc>
          <w:tcPr>
            <w:tcW w:w="2715" w:type="dxa"/>
            <w:vAlign w:val="center"/>
          </w:tcPr>
          <w:p>
            <w:pPr>
              <w:widowControl/>
              <w:jc w:val="center"/>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空  调</w:t>
            </w:r>
          </w:p>
        </w:tc>
        <w:tc>
          <w:tcPr>
            <w:tcW w:w="245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c>
          <w:tcPr>
            <w:tcW w:w="2400" w:type="dxa"/>
            <w:gridSpan w:val="3"/>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其它设备</w:t>
            </w:r>
          </w:p>
        </w:tc>
        <w:tc>
          <w:tcPr>
            <w:tcW w:w="271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restart"/>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使用维护</w:t>
            </w: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CN"/>
              </w:rPr>
              <w:t>现状用途</w:t>
            </w:r>
          </w:p>
        </w:tc>
        <w:tc>
          <w:tcPr>
            <w:tcW w:w="2454" w:type="dxa"/>
            <w:vAlign w:val="center"/>
          </w:tcPr>
          <w:p>
            <w:pPr>
              <w:widowControl/>
              <w:jc w:val="center"/>
              <w:rPr>
                <w:rFonts w:hint="default" w:ascii="仿宋_GB2312" w:hAnsi="宋体" w:eastAsia="仿宋_GB2312"/>
                <w:snapToGrid w:val="0"/>
                <w:kern w:val="0"/>
                <w:sz w:val="24"/>
                <w:szCs w:val="24"/>
                <w:lang w:val="en-US" w:eastAsia="zh-CN"/>
              </w:rPr>
            </w:pPr>
            <w:r>
              <w:rPr>
                <w:rFonts w:hint="eastAsia" w:ascii="仿宋_GB2312" w:hAnsi="宋体" w:eastAsia="仿宋_GB2312"/>
                <w:snapToGrid w:val="0"/>
                <w:kern w:val="0"/>
                <w:sz w:val="24"/>
                <w:szCs w:val="24"/>
                <w:lang w:eastAsia="zh-CN"/>
              </w:rPr>
              <w:t>办公</w:t>
            </w:r>
          </w:p>
        </w:tc>
        <w:tc>
          <w:tcPr>
            <w:tcW w:w="2400" w:type="dxa"/>
            <w:gridSpan w:val="3"/>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成新度</w:t>
            </w:r>
          </w:p>
        </w:tc>
        <w:tc>
          <w:tcPr>
            <w:tcW w:w="271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约</w:t>
            </w:r>
            <w:r>
              <w:rPr>
                <w:rFonts w:hint="eastAsia" w:ascii="仿宋_GB2312" w:hAnsi="宋体" w:eastAsia="仿宋_GB2312"/>
                <w:snapToGrid w:val="0"/>
                <w:kern w:val="0"/>
                <w:sz w:val="24"/>
                <w:szCs w:val="24"/>
                <w:lang w:eastAsia="zh-CN"/>
              </w:rPr>
              <w:t>五</w:t>
            </w:r>
            <w:r>
              <w:rPr>
                <w:rFonts w:hint="eastAsia" w:ascii="仿宋_GB2312" w:hAnsi="宋体" w:eastAsia="仿宋_GB2312"/>
                <w:snapToGrid w:val="0"/>
                <w:kern w:val="0"/>
                <w:sz w:val="24"/>
                <w:szCs w:val="24"/>
              </w:rPr>
              <w:t>成新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使用状况</w:t>
            </w:r>
          </w:p>
        </w:tc>
        <w:tc>
          <w:tcPr>
            <w:tcW w:w="7569" w:type="dxa"/>
            <w:gridSpan w:val="5"/>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color w:val="000000" w:themeColor="text1"/>
                <w:kern w:val="0"/>
                <w:sz w:val="24"/>
                <w:szCs w:val="24"/>
                <w14:textFill>
                  <w14:solidFill>
                    <w14:schemeClr w14:val="tx1"/>
                  </w14:solidFill>
                </w14:textFill>
              </w:rPr>
              <w:t>正在使用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维护与保养</w:t>
            </w:r>
          </w:p>
        </w:tc>
        <w:tc>
          <w:tcPr>
            <w:tcW w:w="7569" w:type="dxa"/>
            <w:gridSpan w:val="5"/>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color w:val="000000" w:themeColor="text1"/>
                <w:kern w:val="0"/>
                <w:sz w:val="24"/>
                <w:szCs w:val="24"/>
                <w:lang w:eastAsia="zh-CN"/>
                <w14:textFill>
                  <w14:solidFill>
                    <w14:schemeClr w14:val="tx1"/>
                  </w14:solidFill>
                </w14:textFill>
              </w:rPr>
              <w:t>一般</w:t>
            </w:r>
          </w:p>
        </w:tc>
      </w:tr>
    </w:tbl>
    <w:p>
      <w:pPr>
        <w:pStyle w:val="35"/>
        <w:adjustRightInd w:val="0"/>
        <w:snapToGrid w:val="0"/>
        <w:ind w:firstLine="505" w:firstLineChars="150"/>
        <w:rPr>
          <w:rFonts w:ascii="仿宋_GB2312" w:eastAsia="仿宋_GB2312"/>
          <w:snapToGrid w:val="0"/>
          <w:sz w:val="28"/>
          <w:szCs w:val="28"/>
        </w:rPr>
      </w:pP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 估价对象权益状况</w:t>
      </w:r>
    </w:p>
    <w:tbl>
      <w:tblPr>
        <w:tblStyle w:val="45"/>
        <w:tblpPr w:leftFromText="180" w:rightFromText="180" w:vertAnchor="text" w:horzAnchor="margin" w:tblpXSpec="center" w:tblpY="3"/>
        <w:tblW w:w="10314" w:type="dxa"/>
        <w:tblInd w:w="0" w:type="dxa"/>
        <w:tblLayout w:type="fixed"/>
        <w:tblCellMar>
          <w:top w:w="0" w:type="dxa"/>
          <w:left w:w="108" w:type="dxa"/>
          <w:bottom w:w="0" w:type="dxa"/>
          <w:right w:w="108" w:type="dxa"/>
        </w:tblCellMar>
      </w:tblPr>
      <w:tblGrid>
        <w:gridCol w:w="2408"/>
        <w:gridCol w:w="2648"/>
        <w:gridCol w:w="2251"/>
        <w:gridCol w:w="3007"/>
      </w:tblGrid>
      <w:tr>
        <w:tblPrEx>
          <w:tblCellMar>
            <w:top w:w="0" w:type="dxa"/>
            <w:left w:w="108" w:type="dxa"/>
            <w:bottom w:w="0" w:type="dxa"/>
            <w:right w:w="108" w:type="dxa"/>
          </w:tblCellMar>
        </w:tblPrEx>
        <w:trPr>
          <w:trHeight w:val="472" w:hRule="atLeast"/>
        </w:trPr>
        <w:tc>
          <w:tcPr>
            <w:tcW w:w="2408"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估价对象名称</w:t>
            </w:r>
          </w:p>
        </w:tc>
        <w:tc>
          <w:tcPr>
            <w:tcW w:w="7906" w:type="dxa"/>
            <w:gridSpan w:val="3"/>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rPr>
              <w:t>揭阳市惠来县惠城镇葵阳对外工业区家用电器厂</w:t>
            </w:r>
          </w:p>
        </w:tc>
      </w:tr>
      <w:tr>
        <w:tblPrEx>
          <w:tblCellMar>
            <w:top w:w="0" w:type="dxa"/>
            <w:left w:w="108" w:type="dxa"/>
            <w:bottom w:w="0" w:type="dxa"/>
            <w:right w:w="108" w:type="dxa"/>
          </w:tblCellMar>
        </w:tblPrEx>
        <w:trPr>
          <w:trHeight w:val="472" w:hRule="atLeast"/>
        </w:trPr>
        <w:tc>
          <w:tcPr>
            <w:tcW w:w="2408"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估价对象位置</w:t>
            </w:r>
          </w:p>
        </w:tc>
        <w:tc>
          <w:tcPr>
            <w:tcW w:w="7906" w:type="dxa"/>
            <w:gridSpan w:val="3"/>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rPr>
              <w:t>揭阳市惠来县惠城镇葵阳对外工业区家用电器厂</w:t>
            </w:r>
          </w:p>
        </w:tc>
      </w:tr>
      <w:tr>
        <w:tblPrEx>
          <w:tblCellMar>
            <w:top w:w="0" w:type="dxa"/>
            <w:left w:w="108" w:type="dxa"/>
            <w:bottom w:w="0" w:type="dxa"/>
            <w:right w:w="108" w:type="dxa"/>
          </w:tblCellMar>
        </w:tblPrEx>
        <w:trPr>
          <w:trHeight w:val="453" w:hRule="atLeast"/>
        </w:trPr>
        <w:tc>
          <w:tcPr>
            <w:tcW w:w="2408"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房地产权属人</w:t>
            </w:r>
          </w:p>
        </w:tc>
        <w:tc>
          <w:tcPr>
            <w:tcW w:w="7906" w:type="dxa"/>
            <w:gridSpan w:val="3"/>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rPr>
              <w:t>惠来县进出口贸易公司</w:t>
            </w:r>
          </w:p>
        </w:tc>
      </w:tr>
      <w:tr>
        <w:tblPrEx>
          <w:tblCellMar>
            <w:top w:w="0" w:type="dxa"/>
            <w:left w:w="108" w:type="dxa"/>
            <w:bottom w:w="0" w:type="dxa"/>
            <w:right w:w="108" w:type="dxa"/>
          </w:tblCellMar>
        </w:tblPrEx>
        <w:trPr>
          <w:trHeight w:val="472" w:hRule="atLeast"/>
        </w:trPr>
        <w:tc>
          <w:tcPr>
            <w:tcW w:w="2408"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产权证号</w:t>
            </w:r>
          </w:p>
        </w:tc>
        <w:tc>
          <w:tcPr>
            <w:tcW w:w="7906" w:type="dxa"/>
            <w:gridSpan w:val="3"/>
            <w:tcBorders>
              <w:top w:val="single" w:color="auto" w:sz="4" w:space="0"/>
              <w:left w:val="nil"/>
              <w:bottom w:val="single" w:color="auto" w:sz="4" w:space="0"/>
              <w:right w:val="single" w:color="auto" w:sz="4" w:space="0"/>
            </w:tcBorders>
            <w:vAlign w:val="center"/>
          </w:tcPr>
          <w:p>
            <w:pPr>
              <w:pStyle w:val="23"/>
              <w:tabs>
                <w:tab w:val="left" w:pos="0"/>
              </w:tabs>
              <w:jc w:val="center"/>
              <w:rPr>
                <w:rFonts w:hint="default" w:ascii="仿宋_GB2312" w:hAnsi="宋体" w:eastAsia="仿宋_GB2312" w:cs="Times New Roman"/>
                <w:snapToGrid w:val="0"/>
                <w:kern w:val="0"/>
                <w:sz w:val="24"/>
                <w:szCs w:val="24"/>
                <w:lang w:val="en-US" w:eastAsia="zh-CN"/>
              </w:rPr>
            </w:pPr>
            <w:r>
              <w:rPr>
                <w:rFonts w:hint="eastAsia" w:ascii="仿宋_GB2312" w:hAnsi="宋体" w:eastAsia="仿宋_GB2312"/>
                <w:snapToGrid w:val="0"/>
                <w:kern w:val="0"/>
                <w:sz w:val="24"/>
                <w:szCs w:val="24"/>
              </w:rPr>
              <w:t>粤房字第0944739号</w:t>
            </w:r>
          </w:p>
        </w:tc>
      </w:tr>
      <w:tr>
        <w:tblPrEx>
          <w:tblCellMar>
            <w:top w:w="0" w:type="dxa"/>
            <w:left w:w="108" w:type="dxa"/>
            <w:bottom w:w="0" w:type="dxa"/>
            <w:right w:w="108" w:type="dxa"/>
          </w:tblCellMar>
        </w:tblPrEx>
        <w:trPr>
          <w:trHeight w:val="608" w:hRule="atLeast"/>
        </w:trPr>
        <w:tc>
          <w:tcPr>
            <w:tcW w:w="2408" w:type="dxa"/>
            <w:tcBorders>
              <w:top w:val="single" w:color="auto" w:sz="4" w:space="0"/>
              <w:left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color w:val="000000" w:themeColor="text1"/>
                <w:kern w:val="0"/>
                <w:sz w:val="24"/>
                <w:szCs w:val="24"/>
                <w14:textFill>
                  <w14:solidFill>
                    <w14:schemeClr w14:val="tx1"/>
                  </w14:solidFill>
                </w14:textFill>
              </w:rPr>
              <w:t>建基面积</w:t>
            </w:r>
          </w:p>
        </w:tc>
        <w:tc>
          <w:tcPr>
            <w:tcW w:w="2648"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color w:val="000000" w:themeColor="text1"/>
                <w:kern w:val="0"/>
                <w:sz w:val="24"/>
                <w:szCs w:val="24"/>
                <w14:textFill>
                  <w14:solidFill>
                    <w14:schemeClr w14:val="tx1"/>
                  </w14:solidFill>
                </w14:textFill>
              </w:rPr>
              <w:t>1143.00平方米</w:t>
            </w:r>
          </w:p>
        </w:tc>
        <w:tc>
          <w:tcPr>
            <w:tcW w:w="2251" w:type="dxa"/>
            <w:tcBorders>
              <w:top w:val="single" w:color="auto" w:sz="4" w:space="0"/>
              <w:left w:val="nil"/>
              <w:right w:val="single" w:color="auto" w:sz="4" w:space="0"/>
            </w:tcBorders>
            <w:vAlign w:val="center"/>
          </w:tcPr>
          <w:p>
            <w:pPr>
              <w:pStyle w:val="23"/>
              <w:tabs>
                <w:tab w:val="left" w:pos="0"/>
              </w:tabs>
              <w:jc w:val="center"/>
              <w:rPr>
                <w:rFonts w:hint="default" w:ascii="仿宋_GB2312" w:hAnsi="宋体" w:eastAsia="仿宋_GB2312"/>
                <w:snapToGrid w:val="0"/>
                <w:kern w:val="0"/>
                <w:sz w:val="24"/>
                <w:szCs w:val="24"/>
                <w:lang w:val="en-US" w:eastAsia="zh-CN"/>
              </w:rPr>
            </w:pPr>
            <w:r>
              <w:rPr>
                <w:rFonts w:hint="eastAsia" w:ascii="仿宋_GB2312" w:hAnsi="宋体" w:eastAsia="仿宋_GB2312"/>
                <w:snapToGrid w:val="0"/>
                <w:color w:val="000000" w:themeColor="text1"/>
                <w:kern w:val="0"/>
                <w:sz w:val="24"/>
                <w:szCs w:val="24"/>
                <w14:textFill>
                  <w14:solidFill>
                    <w14:schemeClr w14:val="tx1"/>
                  </w14:solidFill>
                </w14:textFill>
              </w:rPr>
              <w:t>分摊面积</w:t>
            </w:r>
          </w:p>
        </w:tc>
        <w:tc>
          <w:tcPr>
            <w:tcW w:w="3007" w:type="dxa"/>
            <w:tcBorders>
              <w:top w:val="single" w:color="auto" w:sz="4" w:space="0"/>
              <w:left w:val="nil"/>
              <w:right w:val="single" w:color="auto" w:sz="4" w:space="0"/>
            </w:tcBorders>
            <w:vAlign w:val="center"/>
          </w:tcPr>
          <w:p>
            <w:pPr>
              <w:pStyle w:val="23"/>
              <w:tabs>
                <w:tab w:val="left" w:pos="0"/>
              </w:tabs>
              <w:jc w:val="center"/>
              <w:rPr>
                <w:rFonts w:hint="default" w:ascii="仿宋_GB2312" w:hAnsi="宋体" w:eastAsia="仿宋_GB2312"/>
                <w:snapToGrid w:val="0"/>
                <w:kern w:val="0"/>
                <w:sz w:val="24"/>
                <w:szCs w:val="24"/>
                <w:lang w:val="en-US" w:eastAsia="zh-CN"/>
              </w:rPr>
            </w:pPr>
            <w:r>
              <w:rPr>
                <w:rFonts w:hint="eastAsia" w:ascii="仿宋_GB2312" w:hAnsi="宋体" w:eastAsia="仿宋_GB2312"/>
                <w:snapToGrid w:val="0"/>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rPr>
          <w:trHeight w:val="472" w:hRule="atLeast"/>
        </w:trPr>
        <w:tc>
          <w:tcPr>
            <w:tcW w:w="2408"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color w:val="000000" w:themeColor="text1"/>
                <w:kern w:val="0"/>
                <w:sz w:val="24"/>
                <w:szCs w:val="24"/>
                <w14:textFill>
                  <w14:solidFill>
                    <w14:schemeClr w14:val="tx1"/>
                  </w14:solidFill>
                </w14:textFill>
              </w:rPr>
              <w:t>房屋所有权来源</w:t>
            </w:r>
          </w:p>
        </w:tc>
        <w:tc>
          <w:tcPr>
            <w:tcW w:w="2648"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color w:val="000000" w:themeColor="text1"/>
                <w:kern w:val="0"/>
                <w:sz w:val="24"/>
                <w:szCs w:val="24"/>
                <w14:textFill>
                  <w14:solidFill>
                    <w14:schemeClr w14:val="tx1"/>
                  </w14:solidFill>
                </w14:textFill>
              </w:rPr>
              <w:t>资料记载为新建</w:t>
            </w:r>
          </w:p>
        </w:tc>
        <w:tc>
          <w:tcPr>
            <w:tcW w:w="2251" w:type="dxa"/>
            <w:tcBorders>
              <w:top w:val="single" w:color="auto" w:sz="4" w:space="0"/>
              <w:left w:val="nil"/>
              <w:bottom w:val="single" w:color="auto" w:sz="4" w:space="0"/>
              <w:right w:val="single" w:color="auto" w:sz="4" w:space="0"/>
            </w:tcBorders>
            <w:vAlign w:val="center"/>
          </w:tcPr>
          <w:p>
            <w:pPr>
              <w:widowControl/>
              <w:ind w:right="-384" w:rightChars="-144"/>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CN"/>
              </w:rPr>
              <w:t>竣工日期</w:t>
            </w:r>
          </w:p>
        </w:tc>
        <w:tc>
          <w:tcPr>
            <w:tcW w:w="3007" w:type="dxa"/>
            <w:tcBorders>
              <w:top w:val="single" w:color="auto" w:sz="4" w:space="0"/>
              <w:left w:val="nil"/>
              <w:bottom w:val="single" w:color="auto" w:sz="4" w:space="0"/>
              <w:right w:val="single" w:color="auto" w:sz="4" w:space="0"/>
            </w:tcBorders>
            <w:vAlign w:val="center"/>
          </w:tcPr>
          <w:p>
            <w:pPr>
              <w:widowControl/>
              <w:jc w:val="center"/>
              <w:rPr>
                <w:rFonts w:hint="default" w:ascii="仿宋_GB2312" w:hAnsi="宋体" w:eastAsia="仿宋_GB2312"/>
                <w:snapToGrid w:val="0"/>
                <w:kern w:val="0"/>
                <w:sz w:val="24"/>
                <w:szCs w:val="24"/>
                <w:lang w:val="en-US"/>
              </w:rPr>
            </w:pPr>
            <w:r>
              <w:rPr>
                <w:rFonts w:hint="eastAsia" w:ascii="仿宋_GB2312" w:hAnsi="宋体" w:eastAsia="仿宋_GB2312"/>
                <w:snapToGrid w:val="0"/>
                <w:kern w:val="0"/>
                <w:sz w:val="24"/>
                <w:szCs w:val="24"/>
                <w:lang w:val="en-US" w:eastAsia="zh-CN"/>
              </w:rPr>
              <w:t>1988年7月28日</w:t>
            </w:r>
          </w:p>
        </w:tc>
      </w:tr>
      <w:tr>
        <w:tblPrEx>
          <w:tblCellMar>
            <w:top w:w="0" w:type="dxa"/>
            <w:left w:w="108" w:type="dxa"/>
            <w:bottom w:w="0" w:type="dxa"/>
            <w:right w:w="108" w:type="dxa"/>
          </w:tblCellMar>
        </w:tblPrEx>
        <w:trPr>
          <w:trHeight w:val="632" w:hRule="atLeast"/>
        </w:trPr>
        <w:tc>
          <w:tcPr>
            <w:tcW w:w="2408"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hint="default" w:ascii="仿宋_GB2312" w:hAnsi="宋体" w:eastAsia="仿宋_GB2312"/>
                <w:snapToGrid w:val="0"/>
                <w:kern w:val="0"/>
                <w:sz w:val="24"/>
                <w:szCs w:val="24"/>
                <w:lang w:val="en-US" w:eastAsia="zh-CN"/>
              </w:rPr>
            </w:pPr>
            <w:r>
              <w:rPr>
                <w:rFonts w:hint="eastAsia" w:ascii="仿宋_GB2312" w:hAnsi="宋体" w:eastAsia="仿宋_GB2312"/>
                <w:snapToGrid w:val="0"/>
                <w:color w:val="000000" w:themeColor="text1"/>
                <w:kern w:val="0"/>
                <w:sz w:val="24"/>
                <w:szCs w:val="24"/>
                <w:lang w:eastAsia="zh-CN"/>
                <w14:textFill>
                  <w14:solidFill>
                    <w14:schemeClr w14:val="tx1"/>
                  </w14:solidFill>
                </w14:textFill>
              </w:rPr>
              <w:t>填发</w:t>
            </w:r>
            <w:r>
              <w:rPr>
                <w:rFonts w:hint="eastAsia" w:ascii="仿宋_GB2312" w:hAnsi="宋体" w:eastAsia="仿宋_GB2312"/>
                <w:snapToGrid w:val="0"/>
                <w:color w:val="000000" w:themeColor="text1"/>
                <w:kern w:val="0"/>
                <w:sz w:val="24"/>
                <w:szCs w:val="24"/>
                <w14:textFill>
                  <w14:solidFill>
                    <w14:schemeClr w14:val="tx1"/>
                  </w14:solidFill>
                </w14:textFill>
              </w:rPr>
              <w:t>日期</w:t>
            </w:r>
          </w:p>
        </w:tc>
        <w:tc>
          <w:tcPr>
            <w:tcW w:w="7906" w:type="dxa"/>
            <w:gridSpan w:val="3"/>
            <w:tcBorders>
              <w:top w:val="single" w:color="auto" w:sz="4" w:space="0"/>
              <w:left w:val="nil"/>
              <w:bottom w:val="single" w:color="auto" w:sz="4" w:space="0"/>
              <w:right w:val="single" w:color="auto" w:sz="4" w:space="0"/>
            </w:tcBorders>
            <w:vAlign w:val="center"/>
          </w:tcPr>
          <w:p>
            <w:pPr>
              <w:pStyle w:val="23"/>
              <w:tabs>
                <w:tab w:val="left" w:pos="0"/>
              </w:tabs>
              <w:jc w:val="center"/>
              <w:rPr>
                <w:rFonts w:hint="default" w:ascii="仿宋_GB2312" w:hAnsi="宋体" w:eastAsia="仿宋_GB2312"/>
                <w:snapToGrid w:val="0"/>
                <w:kern w:val="0"/>
                <w:sz w:val="24"/>
                <w:szCs w:val="24"/>
                <w:lang w:val="en-US" w:eastAsia="zh-CN"/>
              </w:rPr>
            </w:pPr>
            <w:r>
              <w:rPr>
                <w:rFonts w:hint="eastAsia" w:ascii="仿宋_GB2312" w:hAnsi="宋体" w:eastAsia="仿宋_GB2312"/>
                <w:snapToGrid w:val="0"/>
                <w:color w:val="000000" w:themeColor="text1"/>
                <w:kern w:val="0"/>
                <w:sz w:val="24"/>
                <w:szCs w:val="24"/>
                <w14:textFill>
                  <w14:solidFill>
                    <w14:schemeClr w14:val="tx1"/>
                  </w14:solidFill>
                </w14:textFill>
              </w:rPr>
              <w:t>1989年1月8日</w:t>
            </w:r>
          </w:p>
        </w:tc>
      </w:tr>
    </w:tbl>
    <w:p>
      <w:pPr>
        <w:adjustRightInd w:val="0"/>
        <w:snapToGrid w:val="0"/>
        <w:spacing w:line="460" w:lineRule="exact"/>
        <w:rPr>
          <w:rFonts w:hint="eastAsia" w:eastAsia="仿宋_GB2312"/>
          <w:b/>
          <w:snapToGrid w:val="0"/>
          <w:kern w:val="0"/>
          <w:sz w:val="28"/>
          <w:szCs w:val="28"/>
          <w:lang w:eastAsia="zh-CN"/>
        </w:rPr>
      </w:pPr>
      <w:r>
        <w:rPr>
          <w:rFonts w:hint="eastAsia" w:ascii="仿宋_GB2312" w:hAnsi="宋体" w:eastAsia="仿宋_GB2312"/>
          <w:snapToGrid w:val="0"/>
          <w:color w:val="000000" w:themeColor="text1"/>
          <w:kern w:val="0"/>
          <w:sz w:val="24"/>
          <w:szCs w:val="24"/>
          <w14:textFill>
            <w14:solidFill>
              <w14:schemeClr w14:val="tx1"/>
            </w14:solidFill>
          </w14:textFill>
        </w:rPr>
        <w:t>备注</w:t>
      </w:r>
      <w:r>
        <w:rPr>
          <w:rFonts w:hint="eastAsia" w:ascii="仿宋_GB2312" w:hAnsi="宋体" w:eastAsia="仿宋_GB2312"/>
          <w:snapToGrid w:val="0"/>
          <w:color w:val="000000" w:themeColor="text1"/>
          <w:kern w:val="0"/>
          <w:sz w:val="24"/>
          <w:szCs w:val="24"/>
          <w:lang w:eastAsia="zh-CN"/>
          <w14:textFill>
            <w14:solidFill>
              <w14:schemeClr w14:val="tx1"/>
            </w14:solidFill>
          </w14:textFill>
        </w:rPr>
        <w:t>：</w:t>
      </w:r>
      <w:r>
        <w:rPr>
          <w:rFonts w:hint="eastAsia" w:ascii="仿宋_GB2312" w:hAnsi="宋体" w:eastAsia="仿宋_GB2312"/>
          <w:snapToGrid w:val="0"/>
          <w:color w:val="000000" w:themeColor="text1"/>
          <w:kern w:val="0"/>
          <w:sz w:val="24"/>
          <w:szCs w:val="24"/>
          <w14:textFill>
            <w14:solidFill>
              <w14:schemeClr w14:val="tx1"/>
            </w14:solidFill>
          </w14:textFill>
        </w:rPr>
        <w:t>以上相关信息来源于法院提供的资料记载</w:t>
      </w:r>
      <w:r>
        <w:rPr>
          <w:rFonts w:hint="eastAsia" w:ascii="仿宋_GB2312" w:hAnsi="宋体" w:eastAsia="仿宋_GB2312"/>
          <w:snapToGrid w:val="0"/>
          <w:color w:val="000000" w:themeColor="text1"/>
          <w:kern w:val="0"/>
          <w:sz w:val="24"/>
          <w:szCs w:val="24"/>
          <w:lang w:eastAsia="zh-CN"/>
          <w14:textFill>
            <w14:solidFill>
              <w14:schemeClr w14:val="tx1"/>
            </w14:solidFill>
          </w14:textFill>
        </w:rPr>
        <w:t>。</w:t>
      </w:r>
    </w:p>
    <w:p>
      <w:pPr>
        <w:pStyle w:val="3"/>
        <w:spacing w:line="360" w:lineRule="auto"/>
        <w:jc w:val="left"/>
        <w:rPr>
          <w:rFonts w:ascii="黑体" w:eastAsia="黑体"/>
          <w:snapToGrid w:val="0"/>
          <w:kern w:val="0"/>
          <w:sz w:val="30"/>
          <w:szCs w:val="30"/>
        </w:rPr>
      </w:pPr>
      <w:bookmarkStart w:id="35" w:name="_Toc2081"/>
      <w:r>
        <w:rPr>
          <w:rFonts w:hint="eastAsia" w:ascii="黑体" w:eastAsia="黑体"/>
          <w:snapToGrid w:val="0"/>
          <w:kern w:val="0"/>
          <w:sz w:val="30"/>
          <w:szCs w:val="30"/>
        </w:rPr>
        <w:t>（四）估价目的</w:t>
      </w:r>
      <w:bookmarkEnd w:id="35"/>
    </w:p>
    <w:p>
      <w:pPr>
        <w:pStyle w:val="35"/>
        <w:adjustRightInd w:val="0"/>
        <w:snapToGrid w:val="0"/>
        <w:ind w:firstLine="505" w:firstLineChars="150"/>
        <w:rPr>
          <w:b/>
          <w:snapToGrid w:val="0"/>
          <w:sz w:val="28"/>
          <w:szCs w:val="28"/>
        </w:rPr>
      </w:pPr>
      <w:r>
        <w:rPr>
          <w:rFonts w:hint="eastAsia" w:ascii="仿宋_GB2312" w:eastAsia="仿宋_GB2312"/>
          <w:snapToGrid w:val="0"/>
          <w:sz w:val="28"/>
          <w:szCs w:val="28"/>
        </w:rPr>
        <w:t>为</w:t>
      </w:r>
      <w:r>
        <w:rPr>
          <w:rFonts w:hint="eastAsia" w:ascii="仿宋_GB2312" w:eastAsia="仿宋_GB2312"/>
          <w:snapToGrid w:val="0"/>
          <w:sz w:val="28"/>
          <w:szCs w:val="28"/>
          <w:lang w:eastAsia="zh-CN"/>
        </w:rPr>
        <w:t>汕头市中级人民法院</w:t>
      </w:r>
      <w:r>
        <w:rPr>
          <w:rFonts w:hint="eastAsia" w:ascii="仿宋_GB2312" w:eastAsia="仿宋_GB2312"/>
          <w:snapToGrid w:val="0"/>
          <w:sz w:val="28"/>
          <w:szCs w:val="28"/>
        </w:rPr>
        <w:t>进行司法处置提供价值参考依据。</w:t>
      </w:r>
    </w:p>
    <w:p>
      <w:pPr>
        <w:pStyle w:val="3"/>
        <w:spacing w:line="360" w:lineRule="auto"/>
        <w:jc w:val="left"/>
        <w:rPr>
          <w:rFonts w:ascii="黑体" w:eastAsia="黑体"/>
          <w:snapToGrid w:val="0"/>
          <w:kern w:val="0"/>
          <w:sz w:val="30"/>
          <w:szCs w:val="30"/>
        </w:rPr>
      </w:pPr>
      <w:bookmarkStart w:id="36" w:name="_Toc24940"/>
      <w:r>
        <w:rPr>
          <w:rFonts w:hint="eastAsia" w:ascii="黑体" w:eastAsia="黑体"/>
          <w:snapToGrid w:val="0"/>
          <w:kern w:val="0"/>
          <w:sz w:val="30"/>
          <w:szCs w:val="30"/>
        </w:rPr>
        <w:t>（五）价值时点</w:t>
      </w:r>
      <w:bookmarkEnd w:id="36"/>
    </w:p>
    <w:p>
      <w:pPr>
        <w:pStyle w:val="35"/>
        <w:adjustRightInd w:val="0"/>
        <w:snapToGrid w:val="0"/>
        <w:ind w:firstLine="505" w:firstLineChars="150"/>
        <w:rPr>
          <w:b/>
          <w:snapToGrid w:val="0"/>
          <w:sz w:val="28"/>
          <w:szCs w:val="28"/>
        </w:rPr>
      </w:pPr>
      <w:r>
        <w:rPr>
          <w:rFonts w:hint="eastAsia" w:ascii="仿宋_GB2312" w:eastAsia="仿宋_GB2312"/>
          <w:snapToGrid w:val="0"/>
          <w:sz w:val="28"/>
          <w:szCs w:val="28"/>
        </w:rPr>
        <w:t>价值时点为</w:t>
      </w:r>
      <w:r>
        <w:rPr>
          <w:rFonts w:hint="eastAsia" w:ascii="仿宋_GB2312" w:eastAsia="仿宋_GB2312"/>
          <w:snapToGrid w:val="0"/>
          <w:sz w:val="28"/>
          <w:szCs w:val="28"/>
          <w:lang w:eastAsia="zh-CN"/>
        </w:rPr>
        <w:t>二〇二四年二月一日</w:t>
      </w:r>
      <w:r>
        <w:rPr>
          <w:rFonts w:hint="eastAsia" w:ascii="仿宋_GB2312" w:eastAsia="仿宋_GB2312"/>
          <w:snapToGrid w:val="0"/>
          <w:sz w:val="28"/>
          <w:szCs w:val="28"/>
        </w:rPr>
        <w:t>（价值时点的确定理由：根据《房地产估价规范》【GB/T50291-2015】规定及委托书，价值时点为估价人员对估价对象实地查勘之日）。</w:t>
      </w:r>
    </w:p>
    <w:p>
      <w:pPr>
        <w:pStyle w:val="3"/>
        <w:spacing w:line="360" w:lineRule="auto"/>
        <w:jc w:val="left"/>
        <w:rPr>
          <w:rFonts w:ascii="黑体" w:eastAsia="黑体"/>
          <w:snapToGrid w:val="0"/>
          <w:kern w:val="0"/>
          <w:sz w:val="30"/>
          <w:szCs w:val="30"/>
        </w:rPr>
      </w:pPr>
      <w:bookmarkStart w:id="37" w:name="_Toc29031"/>
      <w:r>
        <w:rPr>
          <w:rFonts w:hint="eastAsia" w:ascii="黑体" w:eastAsia="黑体"/>
          <w:snapToGrid w:val="0"/>
          <w:kern w:val="0"/>
          <w:sz w:val="30"/>
          <w:szCs w:val="30"/>
        </w:rPr>
        <w:t>（六）价值定义</w:t>
      </w:r>
      <w:bookmarkEnd w:id="37"/>
    </w:p>
    <w:p>
      <w:pPr>
        <w:pStyle w:val="35"/>
        <w:adjustRightInd w:val="0"/>
        <w:snapToGrid w:val="0"/>
        <w:ind w:firstLine="505" w:firstLineChars="150"/>
        <w:rPr>
          <w:b/>
          <w:snapToGrid w:val="0"/>
          <w:sz w:val="28"/>
          <w:szCs w:val="28"/>
        </w:rPr>
      </w:pPr>
      <w:r>
        <w:rPr>
          <w:rFonts w:hint="eastAsia" w:ascii="仿宋_GB2312" w:eastAsia="仿宋_GB2312"/>
          <w:snapToGrid w:val="0"/>
          <w:sz w:val="28"/>
          <w:szCs w:val="28"/>
        </w:rPr>
        <w:t>本报告中的评估价值为估价对象于价值时点状态、在公开市场价格标准及满足估价的假设和限制条件下的公开市场价格。根据《房地产估价规范》【GB/T50291-2015】和本次估价的</w:t>
      </w:r>
      <w:r>
        <w:rPr>
          <w:rFonts w:hint="eastAsia" w:ascii="仿宋_GB2312" w:hAnsi="Times New Roman" w:eastAsia="仿宋_GB2312" w:cs="Times New Roman"/>
          <w:snapToGrid w:val="0"/>
          <w:sz w:val="28"/>
          <w:szCs w:val="28"/>
          <w:lang w:eastAsia="zh-CN"/>
        </w:rPr>
        <w:t>《</w:t>
      </w:r>
      <w:r>
        <w:rPr>
          <w:rFonts w:hint="eastAsia" w:ascii="仿宋_GB2312" w:eastAsia="仿宋_GB2312" w:cs="Times New Roman"/>
          <w:snapToGrid w:val="0"/>
          <w:sz w:val="28"/>
          <w:szCs w:val="28"/>
          <w:lang w:eastAsia="zh-CN"/>
        </w:rPr>
        <w:t>重新评估委托书</w:t>
      </w:r>
      <w:r>
        <w:rPr>
          <w:rFonts w:hint="eastAsia" w:ascii="仿宋_GB2312" w:hAnsi="Times New Roman" w:eastAsia="仿宋_GB2312" w:cs="Times New Roman"/>
          <w:snapToGrid w:val="0"/>
          <w:sz w:val="28"/>
          <w:szCs w:val="28"/>
          <w:lang w:eastAsia="zh-CN"/>
        </w:rPr>
        <w:t>》（</w:t>
      </w:r>
      <w:r>
        <w:rPr>
          <w:rFonts w:hint="eastAsia" w:ascii="仿宋_GB2312" w:eastAsia="仿宋_GB2312" w:cs="Times New Roman"/>
          <w:snapToGrid w:val="0"/>
          <w:sz w:val="28"/>
          <w:szCs w:val="28"/>
          <w:lang w:eastAsia="zh-CN"/>
        </w:rPr>
        <w:t>(2024)汕中法技鉴字第1号</w:t>
      </w:r>
      <w:r>
        <w:rPr>
          <w:rFonts w:hint="eastAsia" w:ascii="仿宋_GB2312" w:hAnsi="Times New Roman" w:eastAsia="仿宋_GB2312" w:cs="Times New Roman"/>
          <w:snapToGrid w:val="0"/>
          <w:sz w:val="28"/>
          <w:szCs w:val="28"/>
          <w:lang w:eastAsia="zh-CN"/>
        </w:rPr>
        <w:t>）</w:t>
      </w:r>
      <w:r>
        <w:rPr>
          <w:rFonts w:hint="eastAsia" w:ascii="仿宋_GB2312" w:eastAsia="仿宋_GB2312"/>
          <w:snapToGrid w:val="0"/>
          <w:sz w:val="28"/>
          <w:szCs w:val="28"/>
        </w:rPr>
        <w:t>具体要求，本估价报告中的评估价值是指估价对象在价值时点</w:t>
      </w:r>
      <w:r>
        <w:rPr>
          <w:rFonts w:hint="eastAsia" w:ascii="仿宋_GB2312" w:eastAsia="仿宋_GB2312"/>
          <w:snapToGrid w:val="0"/>
          <w:sz w:val="28"/>
          <w:szCs w:val="28"/>
          <w:lang w:eastAsia="zh-CN"/>
        </w:rPr>
        <w:t>2024年2月1日</w:t>
      </w:r>
      <w:r>
        <w:rPr>
          <w:rFonts w:hint="eastAsia" w:ascii="仿宋_GB2312" w:eastAsia="仿宋_GB2312"/>
          <w:snapToGrid w:val="0"/>
          <w:sz w:val="28"/>
          <w:szCs w:val="28"/>
        </w:rPr>
        <w:t>现状利用条件下的房地产市场价格。</w:t>
      </w:r>
    </w:p>
    <w:p>
      <w:pPr>
        <w:pStyle w:val="3"/>
        <w:spacing w:line="360" w:lineRule="auto"/>
        <w:jc w:val="left"/>
        <w:rPr>
          <w:rFonts w:ascii="黑体" w:eastAsia="黑体"/>
          <w:snapToGrid w:val="0"/>
          <w:kern w:val="0"/>
          <w:sz w:val="30"/>
          <w:szCs w:val="30"/>
        </w:rPr>
      </w:pPr>
      <w:bookmarkStart w:id="38" w:name="_Toc1997"/>
      <w:r>
        <w:rPr>
          <w:rFonts w:hint="eastAsia" w:ascii="黑体" w:eastAsia="黑体"/>
          <w:snapToGrid w:val="0"/>
          <w:kern w:val="0"/>
          <w:sz w:val="30"/>
          <w:szCs w:val="30"/>
        </w:rPr>
        <w:t>（七）估价依据</w:t>
      </w:r>
      <w:bookmarkEnd w:id="38"/>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本次评估依据国家、省、市及其有关部门颁布的法律规定和政策性文件以及评估房地产所需的具体资料，主要有：</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一、国家有关部门颁布的法律法规及相关文件</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1.《中华人民共和国民法典》（2020年5月28日第十三届全国人民代表大会第三次会议通过，2021年1月1日起施行）</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2.《中华人民共和国城市房地产管理法》（2019年8月26日，十三届全国人大常委会第十二次会议表决通过关于修改土地管理法、城市房地产管理法的决定，本决定自2020年1月1日起施行）;</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3.《中华人民共和国土地管理法》（2019年8月26日，十三届全国人大常委会第十二次会议表决通过关于修改土地管理法、城市房地产管理法的决定，本决定自2020年1月1日起施行）；</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4.《中华人民共和国资产评估法》（2016年7月2日全国人民代表大会常务委员会第二十一次会议通过，自2016年12月1日起施行）。</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二、地方有关部门颁布的法规及相关文件</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1.广东省及</w:t>
      </w:r>
      <w:r>
        <w:rPr>
          <w:rFonts w:hint="eastAsia" w:ascii="仿宋_GB2312" w:eastAsia="仿宋_GB2312"/>
          <w:snapToGrid w:val="0"/>
          <w:sz w:val="28"/>
          <w:szCs w:val="28"/>
          <w:lang w:eastAsia="zh-CN"/>
        </w:rPr>
        <w:t>揭阳市</w:t>
      </w:r>
      <w:r>
        <w:rPr>
          <w:rFonts w:hint="eastAsia" w:ascii="仿宋_GB2312" w:eastAsia="仿宋_GB2312"/>
          <w:snapToGrid w:val="0"/>
          <w:sz w:val="28"/>
          <w:szCs w:val="28"/>
        </w:rPr>
        <w:t>人民政府及有关管理部门颁布的有关法规、部门规章和政策文件。</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三、本次估价依据的技术规程</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1.《房地产估价规范》【GB/T50291-2015】</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2.《房地产估价基本术语标准》【GB/T 50899-2013】</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3.《涉执房地产处置司法评估指导意见（试行）》（中国房地产估价师与房地产经纪人学会2021年8月18日颁布）</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 xml:space="preserve">四、委托方提供的有关资料 </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w:t>
      </w:r>
      <w:r>
        <w:rPr>
          <w:rFonts w:hint="eastAsia" w:ascii="仿宋_GB2312" w:eastAsia="仿宋_GB2312"/>
          <w:snapToGrid w:val="0"/>
          <w:sz w:val="28"/>
          <w:szCs w:val="28"/>
          <w:lang w:eastAsia="zh-CN"/>
        </w:rPr>
        <w:t>重新评估委托书</w:t>
      </w:r>
      <w:r>
        <w:rPr>
          <w:rFonts w:hint="eastAsia" w:ascii="仿宋_GB2312" w:eastAsia="仿宋_GB2312"/>
          <w:snapToGrid w:val="0"/>
          <w:sz w:val="28"/>
          <w:szCs w:val="28"/>
        </w:rPr>
        <w:t>》（</w:t>
      </w:r>
      <w:r>
        <w:rPr>
          <w:rFonts w:hint="eastAsia" w:ascii="仿宋_GB2312" w:eastAsia="仿宋_GB2312"/>
          <w:snapToGrid w:val="0"/>
          <w:sz w:val="28"/>
          <w:szCs w:val="28"/>
          <w:lang w:eastAsia="zh-CN"/>
        </w:rPr>
        <w:t>(2024)汕中法技鉴字第1号</w:t>
      </w:r>
      <w:r>
        <w:rPr>
          <w:rFonts w:hint="eastAsia" w:ascii="仿宋_GB2312" w:eastAsia="仿宋_GB2312"/>
          <w:snapToGrid w:val="0"/>
          <w:sz w:val="28"/>
          <w:szCs w:val="28"/>
        </w:rPr>
        <w:t>）；</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2、委托方提供的基本情况资料。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五、估价机构掌握的有关资料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1.估价对象所在地自然条件、社会经济条件、行政区划人口等方面的基本情况资料；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2.估价对象所在地统计资料；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3.估价对象所在地城市规划资料；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4.估价对象所在地城市基础设施基本情况资料；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5.建设部《房屋完损等级评定标准》；</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六、估价人员实际勘察、调查所获取的资料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1.估价人员实地勘验和调查收集的有关估价对象权属、基础设施、宗地条件方面的资料;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2.估价人员实地勘验和调查收集的有关估价对象建筑物状况资料;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3.估价对象所在地土地出让转让、土地市场供需状况、商品房买卖、租赁等土地房产交易的市场资料;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4.估价人员实地拍摄的有关估价对象现状的照片。（详见报告附件）</w:t>
      </w:r>
    </w:p>
    <w:p>
      <w:pPr>
        <w:pStyle w:val="3"/>
        <w:spacing w:line="360" w:lineRule="auto"/>
        <w:jc w:val="left"/>
        <w:rPr>
          <w:rFonts w:ascii="黑体" w:eastAsia="黑体"/>
          <w:snapToGrid w:val="0"/>
          <w:kern w:val="0"/>
          <w:sz w:val="30"/>
          <w:szCs w:val="30"/>
        </w:rPr>
      </w:pPr>
      <w:bookmarkStart w:id="39" w:name="_Toc25545"/>
      <w:r>
        <w:rPr>
          <w:rFonts w:hint="eastAsia" w:ascii="黑体" w:eastAsia="黑体"/>
          <w:snapToGrid w:val="0"/>
          <w:kern w:val="0"/>
          <w:sz w:val="30"/>
          <w:szCs w:val="30"/>
        </w:rPr>
        <w:t>（八）估价原则</w:t>
      </w:r>
      <w:bookmarkEnd w:id="39"/>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根据估价目的，结合估价对象的具体情况，本次估价过程遵循独立、客观、公正原则、合法原则、价值时点原则、替代原则、最高最佳利用等房地产估价原则。</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1、独立、客观、公正原则</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要求站在中立的立场上，实事求是、公平正直地评估出对各方估价利害关系人均是公平合理的价值或价格的原则。</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所谓“独立”，就是要求我司评估人员和房地产估价机构与估价委托人及估价利害关系人没有利害关系，在估价中不受包括估价委托人在内的任何单位和个人的影响，应凭自己的专业知识、经验和职业道德进行估价。所谓“客观”，就是要求我司评估人员和房地产估价机构在估价中不带着自己的情感、好恶和偏见，应按照事物的本来面目、实事求是地进行估价。所谓“公正”，就是要求我司评估人员和房地产估价机构在估价中不偏袒估价利害关系人中的任何一方，应坚持原则、公平正直地进行估价。</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本次估价坚守独立、客观、公正原则，我们建立了行之有效的内部审核制度，以保证评估过程规范有序，既不受其他单位和个人的非法干预和影响，也不因房地产估价师个人好恶或主观偏见影响其分析、判断的客观性。</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2、合法原则</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要求估价结果是在依法判定的估价对象状况下的价值或价格的原则。</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依法是指不仅要依据有关法律、行政法规、最高人民法院和最高人民检察院发布的有关司法解释，还要依据估价对象所在地的有关地方性法规（民族自治地方应同时依据有关自治条例和单行条例），国务院所属部门颁发的有关部门规章和政策，估价对象所在地人民政府颁发的有关地方政府规章和政策，以及估价对象的不动产登记簿、权属证书、有关批文和合同等（如规划意见书、国有建设用地使用权出让招标文件、国有建设用地使用权出让合同、房地产转让合同、房屋租赁合同等）。</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本次评估以估价对象法定用途为前提，适当考虑现状用途对房地产价值的影响。</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3、价值时点原则</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房地产市场处于不断变化之中，房地产价格价格具有很强的时间性，它是某一时点上的价格。在不同时点，同一宗房地产往往会有不同的价格。价值时点原则是指求取某一时点上的价格，所以再评估一宗房地产的价格时，必须假定市场停止在价值时点上，同时估价对象房地产的状况通常也是以其在该时点时的状况为准。</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估价结论同时具有很强的时效性，这主要是考虑到房地产市场价格的波动，同一估价对象在不同时点会具不同的市场价格。</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本次估价以价值时点原则为前提，根据价值时点原则确定政府有关房地产的法律、法规、税收政策、估价标准等的发布、变更、实施日期等估价依据。估价结果是根据估价目的确定的价值时点所对应的市场价格。</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4、替代原则</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要求评估价值与估价对象的类似房地产在同等条件下的价值或价格偏差在合理范围内。即估价不得明显偏离类似房地产在同等条件下的正常价格。同一供求范围内，在用途、规模、档次、建筑结构等方面类似的房地产之间具有相互影响作用，其价格会相互牵制而趋于一致。</w:t>
      </w:r>
    </w:p>
    <w:p>
      <w:pPr>
        <w:adjustRightInd w:val="0"/>
        <w:snapToGrid w:val="0"/>
        <w:spacing w:line="360" w:lineRule="auto"/>
        <w:ind w:firstLine="491" w:firstLineChars="146"/>
        <w:rPr>
          <w:rFonts w:ascii="仿宋_GB2312" w:hAnsi="楷体" w:eastAsia="仿宋_GB2312"/>
          <w:snapToGrid w:val="0"/>
          <w:kern w:val="0"/>
          <w:sz w:val="28"/>
          <w:szCs w:val="28"/>
        </w:rPr>
      </w:pPr>
      <w:r>
        <w:rPr>
          <w:rFonts w:hint="eastAsia" w:ascii="仿宋_GB2312" w:hAnsi="宋体" w:eastAsia="仿宋_GB2312"/>
          <w:snapToGrid w:val="0"/>
          <w:kern w:val="0"/>
          <w:sz w:val="28"/>
          <w:szCs w:val="28"/>
        </w:rPr>
        <w:t>根据市场运行规律，在同一商品市场中，商品或提供服务的效用相同或大致相似时，价格低者吸引需求，即有两个以上互有替代性的商品或服务同时存在时，商品或服务的价格中经过相互影响与比较之后来决定的。房地产价格也同样遵循替代规律，受其它具有相同使用价值的房地产，即同类型具有替代可能的房地产价格所牵制。</w:t>
      </w:r>
      <w:r>
        <w:rPr>
          <w:rFonts w:hint="eastAsia" w:ascii="仿宋_GB2312" w:hAnsi="楷体" w:eastAsia="仿宋_GB2312"/>
          <w:snapToGrid w:val="0"/>
          <w:kern w:val="0"/>
          <w:sz w:val="28"/>
          <w:szCs w:val="28"/>
        </w:rPr>
        <w:t>同一供求范围内，在用途、规模、档次、建筑结构等方面类似的房地产之间具有相互影响作用。</w:t>
      </w:r>
      <w:r>
        <w:rPr>
          <w:rFonts w:hint="eastAsia" w:ascii="仿宋_GB2312" w:hAnsi="宋体" w:eastAsia="仿宋_GB2312"/>
          <w:snapToGrid w:val="0"/>
          <w:kern w:val="0"/>
          <w:sz w:val="28"/>
          <w:szCs w:val="28"/>
        </w:rPr>
        <w:t>换言之，具有相同使用价值、替代可能的房地产之间，会相互影响和竞争，使价格相互牵制而趋于一致。</w:t>
      </w:r>
      <w:r>
        <w:rPr>
          <w:rFonts w:hint="eastAsia" w:ascii="仿宋_GB2312" w:hAnsi="楷体" w:eastAsia="仿宋_GB2312"/>
          <w:snapToGrid w:val="0"/>
          <w:kern w:val="0"/>
          <w:sz w:val="28"/>
          <w:szCs w:val="28"/>
        </w:rPr>
        <w:t>本次评估遵循了替代原则。</w:t>
      </w:r>
    </w:p>
    <w:p>
      <w:pPr>
        <w:adjustRightInd w:val="0"/>
        <w:snapToGrid w:val="0"/>
        <w:spacing w:line="360" w:lineRule="auto"/>
        <w:ind w:firstLine="491" w:firstLineChars="146"/>
        <w:rPr>
          <w:rFonts w:hint="eastAsia" w:ascii="仿宋_GB2312" w:hAnsi="宋体" w:eastAsia="仿宋_GB2312" w:cs="Times New Roman"/>
          <w:snapToGrid w:val="0"/>
          <w:kern w:val="0"/>
          <w:sz w:val="28"/>
          <w:szCs w:val="28"/>
        </w:rPr>
      </w:pPr>
      <w:r>
        <w:rPr>
          <w:rFonts w:hint="eastAsia" w:ascii="仿宋_GB2312" w:hAnsi="宋体" w:eastAsia="仿宋_GB2312" w:cs="Times New Roman"/>
          <w:snapToGrid w:val="0"/>
          <w:kern w:val="0"/>
          <w:sz w:val="28"/>
          <w:szCs w:val="28"/>
        </w:rPr>
        <w:t>5、最高最佳利用原则</w:t>
      </w:r>
    </w:p>
    <w:p>
      <w:pPr>
        <w:adjustRightInd w:val="0"/>
        <w:snapToGrid w:val="0"/>
        <w:spacing w:line="360" w:lineRule="auto"/>
        <w:ind w:firstLine="491" w:firstLineChars="14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评估价值应为在估价对象最高最佳利用状况下的价值或价格。</w:t>
      </w:r>
      <w:r>
        <w:rPr>
          <w:rFonts w:hint="eastAsia" w:ascii="仿宋_GB2312" w:hAnsi="宋体" w:eastAsia="仿宋_GB2312"/>
          <w:snapToGrid w:val="0"/>
          <w:kern w:val="0"/>
          <w:sz w:val="28"/>
          <w:szCs w:val="28"/>
        </w:rPr>
        <w:t>所谓最高最佳利用是估价对象一种最可能的使用，这种最可能的使用是法律上允许、技术上可能、财务上可行、经过充分合理的论证，并能给予估价对象带来最高价值的使用。它的一种具体表现，是以能使估价对象获利最多的用途和开发强度来衡量。这是因为在房地产市场中，每位房地产拥</w:t>
      </w:r>
      <w:r>
        <w:rPr>
          <w:rFonts w:hint="eastAsia" w:ascii="仿宋_GB2312" w:hAnsi="楷体" w:eastAsia="仿宋_GB2312"/>
          <w:snapToGrid w:val="0"/>
          <w:kern w:val="0"/>
          <w:sz w:val="28"/>
          <w:szCs w:val="28"/>
        </w:rPr>
        <w:t>有者在主观上都试图充分地发挥房地产的潜力，采用最高最佳利用方式，取得最大的收益。</w:t>
      </w:r>
    </w:p>
    <w:p>
      <w:pPr>
        <w:adjustRightInd w:val="0"/>
        <w:snapToGrid w:val="0"/>
        <w:spacing w:line="360" w:lineRule="auto"/>
        <w:ind w:firstLine="491" w:firstLineChars="14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本估价报告已对估价对象的最高最佳利用进行了分析和判断。</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楷体" w:eastAsia="仿宋_GB2312"/>
          <w:snapToGrid w:val="0"/>
          <w:kern w:val="0"/>
          <w:sz w:val="28"/>
          <w:szCs w:val="28"/>
        </w:rPr>
        <w:t>总之，在评估过程中，要按国家、地方有关规定，遵守客观、公</w:t>
      </w:r>
      <w:r>
        <w:rPr>
          <w:rFonts w:hint="eastAsia" w:ascii="仿宋_GB2312" w:hAnsi="宋体" w:eastAsia="仿宋_GB2312"/>
          <w:snapToGrid w:val="0"/>
          <w:kern w:val="0"/>
          <w:sz w:val="28"/>
          <w:szCs w:val="28"/>
        </w:rPr>
        <w:t>正、科学、合法的原则进行房地产价值评估，做到评估过程合法合理，评估方法科学，评估结果准确，严格保守评估秘密。</w:t>
      </w:r>
    </w:p>
    <w:p>
      <w:pPr>
        <w:pStyle w:val="3"/>
        <w:spacing w:line="360" w:lineRule="auto"/>
        <w:jc w:val="left"/>
        <w:rPr>
          <w:rFonts w:ascii="黑体" w:eastAsia="黑体"/>
          <w:snapToGrid w:val="0"/>
          <w:kern w:val="0"/>
          <w:sz w:val="30"/>
          <w:szCs w:val="30"/>
        </w:rPr>
      </w:pPr>
      <w:bookmarkStart w:id="40" w:name="_Toc23490"/>
      <w:r>
        <w:rPr>
          <w:rFonts w:hint="eastAsia" w:ascii="黑体" w:eastAsia="黑体"/>
          <w:snapToGrid w:val="0"/>
          <w:kern w:val="0"/>
          <w:sz w:val="30"/>
          <w:szCs w:val="30"/>
        </w:rPr>
        <w:t>（九）估价方法</w:t>
      </w:r>
      <w:bookmarkEnd w:id="40"/>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1、估价方法的选用</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未设立法定优先受偿权利下的市场价值根据《房地产估价规范》要求，对于已明确估价目的的估价，若估价对象适宜采用多种估价方法进行估价，应同时采用多种估价方法进行估价，不得随意取舍；若必须取舍，应在估价报告中予以说明并陈述理由。</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房地产估价方法主要有市场比较法、收益法、成本法、假设开发法等。不同的估价方法从不同的角度反映了估价对象房地产在一定权利状态及时间点的价格水平，只是各种方法的适用条件、方法特点有所不同，需根据特定的估价目的、市场发育状况及估价对象性质与用途等选择合适的估价方法。</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估价人员通过实地调查，根据估价目的、评估项目的特点和工业房地产市场实际状况，并研究分析了委托方提供的及估价人员所掌握的资料，结合估价经验综合确定采用</w:t>
      </w:r>
      <w:r>
        <w:rPr>
          <w:rFonts w:hint="eastAsia" w:ascii="仿宋_GB2312" w:hAnsi="宋体" w:eastAsia="仿宋_GB2312"/>
          <w:snapToGrid w:val="0"/>
          <w:kern w:val="0"/>
          <w:sz w:val="28"/>
          <w:szCs w:val="28"/>
          <w:lang w:val="en-US" w:eastAsia="zh-CN"/>
        </w:rPr>
        <w:t>比较法</w:t>
      </w:r>
      <w:r>
        <w:rPr>
          <w:rFonts w:hint="eastAsia" w:ascii="仿宋_GB2312" w:hAnsi="宋体" w:eastAsia="仿宋_GB2312"/>
          <w:snapToGrid w:val="0"/>
          <w:kern w:val="0"/>
          <w:sz w:val="28"/>
          <w:szCs w:val="28"/>
        </w:rPr>
        <w:t>和收益法两种估价方法进行测算。</w:t>
      </w:r>
    </w:p>
    <w:p>
      <w:pPr>
        <w:adjustRightInd w:val="0"/>
        <w:snapToGrid w:val="0"/>
        <w:spacing w:line="360" w:lineRule="auto"/>
        <w:ind w:firstLine="491" w:firstLineChars="146"/>
        <w:rPr>
          <w:rFonts w:hint="eastAsia" w:ascii="仿宋_GB2312" w:hAnsi="宋体" w:eastAsia="仿宋_GB2312"/>
          <w:snapToGrid w:val="0"/>
          <w:color w:val="auto"/>
          <w:kern w:val="0"/>
          <w:sz w:val="28"/>
          <w:szCs w:val="28"/>
        </w:rPr>
      </w:pPr>
      <w:r>
        <w:rPr>
          <w:rFonts w:hint="eastAsia" w:ascii="仿宋_GB2312" w:hAnsi="宋体" w:eastAsia="仿宋_GB2312"/>
          <w:snapToGrid w:val="0"/>
          <w:color w:val="auto"/>
          <w:kern w:val="0"/>
          <w:sz w:val="28"/>
          <w:szCs w:val="28"/>
        </w:rPr>
        <w:t>（1）选用比较法的理由</w:t>
      </w:r>
    </w:p>
    <w:p>
      <w:pPr>
        <w:adjustRightInd w:val="0"/>
        <w:snapToGrid w:val="0"/>
        <w:spacing w:line="360" w:lineRule="auto"/>
        <w:ind w:firstLine="491" w:firstLineChars="146"/>
        <w:rPr>
          <w:rFonts w:hint="eastAsia" w:ascii="仿宋_GB2312" w:hAnsi="宋体" w:eastAsia="仿宋_GB2312"/>
          <w:snapToGrid w:val="0"/>
          <w:color w:val="auto"/>
          <w:kern w:val="0"/>
          <w:sz w:val="28"/>
          <w:szCs w:val="28"/>
        </w:rPr>
      </w:pPr>
      <w:r>
        <w:rPr>
          <w:rFonts w:hint="eastAsia" w:ascii="仿宋_GB2312" w:hAnsi="宋体" w:eastAsia="仿宋_GB2312"/>
          <w:snapToGrid w:val="0"/>
          <w:color w:val="auto"/>
          <w:kern w:val="0"/>
          <w:sz w:val="28"/>
          <w:szCs w:val="28"/>
        </w:rPr>
        <w:t>比较法是指选取数宗真实成交且符合一定条件的类似房地产，将它们与估价对象进行比较，根据之间的差异对成交价格进行适当处理后得到估价对象价值的方法。</w:t>
      </w:r>
    </w:p>
    <w:p>
      <w:pPr>
        <w:adjustRightInd w:val="0"/>
        <w:snapToGrid w:val="0"/>
        <w:spacing w:line="360" w:lineRule="auto"/>
        <w:ind w:firstLine="491" w:firstLineChars="146"/>
        <w:rPr>
          <w:rFonts w:hint="eastAsia" w:ascii="仿宋_GB2312" w:hAnsi="宋体" w:eastAsia="仿宋_GB2312" w:cs="Times New Roman"/>
          <w:snapToGrid w:val="0"/>
          <w:color w:val="auto"/>
          <w:kern w:val="0"/>
          <w:sz w:val="28"/>
          <w:szCs w:val="28"/>
        </w:rPr>
      </w:pPr>
      <w:r>
        <w:rPr>
          <w:rFonts w:hint="eastAsia" w:ascii="仿宋_GB2312" w:hAnsi="宋体" w:eastAsia="仿宋_GB2312" w:cs="Times New Roman"/>
          <w:snapToGrid w:val="0"/>
          <w:color w:val="auto"/>
          <w:kern w:val="0"/>
          <w:sz w:val="28"/>
          <w:szCs w:val="28"/>
        </w:rPr>
        <w:t>估价对象估价对象所在区域能搜集到与估价对象相似使用的出售可比案例（同一供需圈内、用途一致、邻近区域）</w:t>
      </w:r>
      <w:r>
        <w:rPr>
          <w:rFonts w:hint="eastAsia" w:ascii="仿宋_GB2312" w:hAnsi="宋体" w:eastAsia="仿宋_GB2312" w:cs="Times New Roman"/>
          <w:snapToGrid w:val="0"/>
          <w:color w:val="auto"/>
          <w:kern w:val="0"/>
          <w:sz w:val="28"/>
          <w:szCs w:val="28"/>
          <w:lang w:eastAsia="zh-CN"/>
        </w:rPr>
        <w:t>较多</w:t>
      </w:r>
      <w:r>
        <w:rPr>
          <w:rFonts w:hint="eastAsia" w:ascii="仿宋_GB2312" w:hAnsi="宋体" w:eastAsia="仿宋_GB2312" w:cs="Times New Roman"/>
          <w:snapToGrid w:val="0"/>
          <w:color w:val="auto"/>
          <w:kern w:val="0"/>
          <w:sz w:val="28"/>
          <w:szCs w:val="28"/>
        </w:rPr>
        <w:t>，故本次评估选取比较法对估价对象进行估价。</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（2）</w:t>
      </w:r>
      <w:r>
        <w:rPr>
          <w:rFonts w:hint="eastAsia" w:ascii="仿宋_GB2312" w:hAnsi="宋体" w:eastAsia="仿宋_GB2312"/>
          <w:snapToGrid w:val="0"/>
          <w:kern w:val="0"/>
          <w:sz w:val="28"/>
          <w:szCs w:val="28"/>
          <w:lang w:val="en-US" w:eastAsia="zh-CN"/>
        </w:rPr>
        <w:t>不</w:t>
      </w:r>
      <w:r>
        <w:rPr>
          <w:rFonts w:hint="eastAsia" w:ascii="仿宋_GB2312" w:hAnsi="宋体" w:eastAsia="仿宋_GB2312"/>
          <w:snapToGrid w:val="0"/>
          <w:kern w:val="0"/>
          <w:sz w:val="28"/>
          <w:szCs w:val="28"/>
        </w:rPr>
        <w:t>选用假设开发法的理由</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假设开发法是指求得估价对象开发完成后的价值和后续开发的必要支出及折现率或后续开发的必要支出及应和利润，将开发完成后的价值和后续开发的必要支出折现到价值时点后相减，或将开发完成后的价值减去后续开发的必要支出及应得利润得到估价对象价值的方法。</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假设开发法适用于具有投资或再开发潜力的房地产的估价，如待开发的土地、在建工程、可装修改造或可改变用途的旧房，统称“待开发房地产”。估价对象登记用途及实际用途均为工业，改变用途和重新开发不符合法律规定。估价对象作为工业用途房地产自建成并续使用至今，</w:t>
      </w:r>
      <w:r>
        <w:rPr>
          <w:rFonts w:hint="eastAsia" w:ascii="仿宋_GB2312" w:hAnsi="宋体" w:eastAsia="仿宋_GB2312"/>
          <w:snapToGrid w:val="0"/>
          <w:kern w:val="0"/>
          <w:sz w:val="28"/>
          <w:szCs w:val="28"/>
          <w:lang w:eastAsia="zh-CN"/>
        </w:rPr>
        <w:t>改造</w:t>
      </w:r>
      <w:r>
        <w:rPr>
          <w:rFonts w:hint="eastAsia" w:ascii="仿宋_GB2312" w:hAnsi="宋体" w:eastAsia="仿宋_GB2312"/>
          <w:snapToGrid w:val="0"/>
          <w:kern w:val="0"/>
          <w:sz w:val="28"/>
          <w:szCs w:val="28"/>
        </w:rPr>
        <w:t>对工业房地产来说并不经济。在无重大政策影响的情况下短期内不会改造或变更用途。故此，对假设开发法不予采用。</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（3）选用收益法的理由</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收益法是指预测估价对象的未来收益，利用合适的报酬率或资本化率、收益乘数将未来收益转换为价值得到估价对象价值的方法。</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根据分析，在工业经济发达，工业用地严重短缺的大环境下，估价对象所属区域已形成一定的工业</w:t>
      </w:r>
      <w:r>
        <w:rPr>
          <w:rFonts w:hint="eastAsia" w:ascii="仿宋_GB2312" w:hAnsi="宋体" w:eastAsia="仿宋_GB2312"/>
          <w:snapToGrid w:val="0"/>
          <w:kern w:val="0"/>
          <w:sz w:val="28"/>
          <w:szCs w:val="28"/>
          <w:lang w:eastAsia="zh-CN"/>
        </w:rPr>
        <w:t>生产用房</w:t>
      </w:r>
      <w:r>
        <w:rPr>
          <w:rFonts w:hint="eastAsia" w:ascii="仿宋_GB2312" w:hAnsi="宋体" w:eastAsia="仿宋_GB2312"/>
          <w:snapToGrid w:val="0"/>
          <w:kern w:val="0"/>
          <w:sz w:val="28"/>
          <w:szCs w:val="28"/>
        </w:rPr>
        <w:t>租赁市场，出租收益回报也较好，且租金水平较为稳定，因此我们认为该类房地产属收益性房地产。根据房地产估价规范“收益性房地产的估价，应选用收益法作为其中的一种估价方法”的要求，本次评估中我们采用收益法作为其中的一种估价方法。</w:t>
      </w:r>
    </w:p>
    <w:p>
      <w:pPr>
        <w:adjustRightInd w:val="0"/>
        <w:snapToGrid w:val="0"/>
        <w:spacing w:line="360" w:lineRule="auto"/>
        <w:ind w:firstLine="491" w:firstLineChars="146"/>
        <w:rPr>
          <w:rFonts w:hint="eastAsia" w:ascii="仿宋_GB2312" w:hAnsi="宋体" w:eastAsia="仿宋_GB2312"/>
          <w:snapToGrid w:val="0"/>
          <w:color w:val="auto"/>
          <w:kern w:val="0"/>
          <w:sz w:val="28"/>
          <w:szCs w:val="28"/>
        </w:rPr>
      </w:pPr>
      <w:r>
        <w:rPr>
          <w:rFonts w:hint="eastAsia" w:ascii="仿宋_GB2312" w:hAnsi="宋体" w:eastAsia="仿宋_GB2312"/>
          <w:snapToGrid w:val="0"/>
          <w:color w:val="auto"/>
          <w:kern w:val="0"/>
          <w:sz w:val="28"/>
          <w:szCs w:val="28"/>
        </w:rPr>
        <w:t>（4）</w:t>
      </w:r>
      <w:r>
        <w:rPr>
          <w:rFonts w:hint="eastAsia" w:ascii="仿宋_GB2312" w:hAnsi="宋体" w:eastAsia="仿宋_GB2312"/>
          <w:snapToGrid w:val="0"/>
          <w:color w:val="auto"/>
          <w:kern w:val="0"/>
          <w:sz w:val="28"/>
          <w:szCs w:val="28"/>
          <w:lang w:eastAsia="zh-CN"/>
        </w:rPr>
        <w:t>不</w:t>
      </w:r>
      <w:r>
        <w:rPr>
          <w:rFonts w:hint="eastAsia" w:ascii="仿宋_GB2312" w:hAnsi="宋体" w:eastAsia="仿宋_GB2312"/>
          <w:snapToGrid w:val="0"/>
          <w:color w:val="auto"/>
          <w:kern w:val="0"/>
          <w:sz w:val="28"/>
          <w:szCs w:val="28"/>
        </w:rPr>
        <w:t>选用成本法的理由</w:t>
      </w:r>
    </w:p>
    <w:p>
      <w:pPr>
        <w:adjustRightInd w:val="0"/>
        <w:snapToGrid w:val="0"/>
        <w:spacing w:line="360" w:lineRule="auto"/>
        <w:ind w:firstLine="491" w:firstLineChars="146"/>
        <w:rPr>
          <w:rFonts w:hint="eastAsia" w:ascii="仿宋_GB2312" w:hAnsi="宋体" w:eastAsia="仿宋_GB2312"/>
          <w:snapToGrid w:val="0"/>
          <w:color w:val="auto"/>
          <w:kern w:val="0"/>
          <w:sz w:val="28"/>
          <w:szCs w:val="28"/>
        </w:rPr>
      </w:pPr>
      <w:r>
        <w:rPr>
          <w:rFonts w:hint="eastAsia" w:ascii="仿宋_GB2312" w:hAnsi="宋体" w:eastAsia="仿宋_GB2312"/>
          <w:snapToGrid w:val="0"/>
          <w:color w:val="auto"/>
          <w:kern w:val="0"/>
          <w:sz w:val="28"/>
          <w:szCs w:val="28"/>
        </w:rPr>
        <w:t>成本法指测算估价对象在价值时点的重置成本或重建成本和折旧，将重置成本或重建成本减去折旧得到估价对象价值的方法。</w:t>
      </w:r>
    </w:p>
    <w:p>
      <w:pPr>
        <w:adjustRightInd w:val="0"/>
        <w:snapToGrid w:val="0"/>
        <w:spacing w:line="360" w:lineRule="auto"/>
        <w:ind w:firstLine="491" w:firstLineChars="146"/>
        <w:rPr>
          <w:rFonts w:hint="eastAsia" w:ascii="仿宋_GB2312" w:hAnsi="宋体" w:eastAsia="仿宋_GB2312" w:cs="Times New Roman"/>
          <w:snapToGrid w:val="0"/>
          <w:color w:val="auto"/>
          <w:kern w:val="0"/>
          <w:sz w:val="28"/>
          <w:szCs w:val="28"/>
        </w:rPr>
      </w:pPr>
      <w:r>
        <w:rPr>
          <w:rFonts w:hint="eastAsia" w:ascii="仿宋_GB2312" w:hAnsi="宋体" w:eastAsia="仿宋_GB2312" w:cs="Times New Roman"/>
          <w:snapToGrid w:val="0"/>
          <w:color w:val="auto"/>
          <w:kern w:val="0"/>
          <w:sz w:val="28"/>
          <w:szCs w:val="28"/>
        </w:rPr>
        <w:t>估价对象为已建成房地产的分割单元，不具备开发或再开发潜力，运用成本法测算的结果不能较好反映估价对象市场价值，故不选取成本法进行评估。</w:t>
      </w:r>
    </w:p>
    <w:p>
      <w:pPr>
        <w:adjustRightInd w:val="0"/>
        <w:snapToGrid w:val="0"/>
        <w:spacing w:line="360" w:lineRule="auto"/>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2、估价技术路线</w:t>
      </w:r>
    </w:p>
    <w:p>
      <w:pPr>
        <w:adjustRightInd w:val="0"/>
        <w:snapToGrid w:val="0"/>
        <w:spacing w:line="360" w:lineRule="auto"/>
        <w:ind w:firstLine="491" w:firstLineChars="146"/>
        <w:rPr>
          <w:rFonts w:hint="eastAsia" w:ascii="仿宋_GB2312" w:hAnsi="宋体" w:eastAsia="仿宋_GB2312" w:cs="Times New Roman"/>
          <w:snapToGrid w:val="0"/>
          <w:kern w:val="0"/>
          <w:sz w:val="28"/>
          <w:szCs w:val="28"/>
        </w:rPr>
      </w:pPr>
      <w:r>
        <w:rPr>
          <w:rFonts w:hint="eastAsia" w:ascii="仿宋_GB2312" w:hAnsi="宋体" w:eastAsia="仿宋_GB2312" w:cs="Times New Roman"/>
          <w:snapToGrid w:val="0"/>
          <w:kern w:val="0"/>
          <w:sz w:val="28"/>
          <w:szCs w:val="28"/>
        </w:rPr>
        <w:t>本次评估采用</w:t>
      </w:r>
      <w:r>
        <w:rPr>
          <w:rFonts w:hint="eastAsia" w:ascii="仿宋_GB2312" w:hAnsi="宋体" w:eastAsia="仿宋_GB2312" w:cs="Times New Roman"/>
          <w:snapToGrid w:val="0"/>
          <w:kern w:val="0"/>
          <w:sz w:val="28"/>
          <w:szCs w:val="28"/>
          <w:lang w:val="en-US" w:eastAsia="zh-CN"/>
        </w:rPr>
        <w:t>比较法和收益法</w:t>
      </w:r>
      <w:r>
        <w:rPr>
          <w:rFonts w:hint="eastAsia" w:ascii="仿宋_GB2312" w:hAnsi="宋体" w:eastAsia="仿宋_GB2312" w:cs="Times New Roman"/>
          <w:snapToGrid w:val="0"/>
          <w:kern w:val="0"/>
          <w:sz w:val="28"/>
          <w:szCs w:val="28"/>
        </w:rPr>
        <w:t>测算出房地产市场价值。</w:t>
      </w:r>
    </w:p>
    <w:p>
      <w:pPr>
        <w:adjustRightInd w:val="0"/>
        <w:snapToGrid w:val="0"/>
        <w:spacing w:line="360" w:lineRule="auto"/>
        <w:ind w:firstLine="491" w:firstLineChars="146"/>
        <w:rPr>
          <w:rFonts w:hint="eastAsia" w:ascii="仿宋_GB2312" w:hAnsi="宋体" w:eastAsia="仿宋_GB2312" w:cs="Times New Roman"/>
          <w:snapToGrid w:val="0"/>
          <w:kern w:val="0"/>
          <w:sz w:val="28"/>
          <w:szCs w:val="28"/>
        </w:rPr>
      </w:pPr>
      <w:r>
        <w:rPr>
          <w:rFonts w:hint="eastAsia" w:ascii="仿宋_GB2312" w:hAnsi="宋体" w:eastAsia="仿宋_GB2312" w:cs="Times New Roman"/>
          <w:snapToGrid w:val="0"/>
          <w:kern w:val="0"/>
          <w:sz w:val="28"/>
          <w:szCs w:val="28"/>
          <w:lang w:eastAsia="zh-CN"/>
        </w:rPr>
        <w:t>（</w:t>
      </w:r>
      <w:r>
        <w:rPr>
          <w:rFonts w:hint="eastAsia" w:ascii="仿宋_GB2312" w:hAnsi="宋体" w:eastAsia="仿宋_GB2312" w:cs="Times New Roman"/>
          <w:snapToGrid w:val="0"/>
          <w:kern w:val="0"/>
          <w:sz w:val="28"/>
          <w:szCs w:val="28"/>
          <w:lang w:val="en-US" w:eastAsia="zh-CN"/>
        </w:rPr>
        <w:t>1）</w:t>
      </w:r>
      <w:r>
        <w:rPr>
          <w:rFonts w:hint="eastAsia" w:ascii="仿宋_GB2312" w:hAnsi="宋体" w:eastAsia="仿宋_GB2312" w:cs="Times New Roman"/>
          <w:snapToGrid w:val="0"/>
          <w:kern w:val="0"/>
          <w:sz w:val="28"/>
          <w:szCs w:val="28"/>
        </w:rPr>
        <w:t>.采用</w:t>
      </w:r>
      <w:r>
        <w:rPr>
          <w:rFonts w:hint="eastAsia" w:ascii="仿宋_GB2312" w:hAnsi="宋体" w:eastAsia="仿宋_GB2312" w:cs="Times New Roman"/>
          <w:snapToGrid w:val="0"/>
          <w:kern w:val="0"/>
          <w:sz w:val="28"/>
          <w:szCs w:val="28"/>
          <w:lang w:eastAsia="zh-CN"/>
        </w:rPr>
        <w:t>比较</w:t>
      </w:r>
      <w:r>
        <w:rPr>
          <w:rFonts w:hint="eastAsia" w:ascii="仿宋_GB2312" w:hAnsi="宋体" w:eastAsia="仿宋_GB2312" w:cs="Times New Roman"/>
          <w:snapToGrid w:val="0"/>
          <w:kern w:val="0"/>
          <w:sz w:val="28"/>
          <w:szCs w:val="28"/>
        </w:rPr>
        <w:t>法，测算估价对象的收益价值。</w:t>
      </w:r>
    </w:p>
    <w:p>
      <w:pPr>
        <w:adjustRightInd w:val="0"/>
        <w:snapToGrid w:val="0"/>
        <w:spacing w:line="360" w:lineRule="auto"/>
        <w:ind w:firstLine="491" w:firstLineChars="146"/>
        <w:rPr>
          <w:rFonts w:hint="eastAsia" w:ascii="仿宋_GB2312" w:hAnsi="宋体" w:eastAsia="仿宋_GB2312" w:cs="Times New Roman"/>
          <w:snapToGrid w:val="0"/>
          <w:kern w:val="0"/>
          <w:sz w:val="28"/>
          <w:szCs w:val="28"/>
        </w:rPr>
      </w:pPr>
      <w:r>
        <w:rPr>
          <w:rFonts w:hint="eastAsia" w:ascii="仿宋_GB2312" w:hAnsi="宋体" w:eastAsia="仿宋_GB2312" w:cs="Times New Roman"/>
          <w:snapToGrid w:val="0"/>
          <w:kern w:val="0"/>
          <w:sz w:val="28"/>
          <w:szCs w:val="28"/>
        </w:rPr>
        <w:t>比较法定义：选取一定数量的可比实例，将他们与估价对象进行比较，根据其间的差异对可比实例成交价格进行处理后得到估价对象价值或价格的方法。</w:t>
      </w:r>
    </w:p>
    <w:p>
      <w:pPr>
        <w:adjustRightInd w:val="0"/>
        <w:snapToGrid w:val="0"/>
        <w:spacing w:line="360" w:lineRule="auto"/>
        <w:ind w:firstLine="491" w:firstLineChars="146"/>
        <w:rPr>
          <w:rFonts w:hint="eastAsia" w:ascii="仿宋_GB2312" w:hAnsi="宋体" w:eastAsia="仿宋_GB2312" w:cs="Times New Roman"/>
          <w:snapToGrid w:val="0"/>
          <w:kern w:val="0"/>
          <w:sz w:val="28"/>
          <w:szCs w:val="28"/>
        </w:rPr>
      </w:pPr>
      <w:r>
        <w:rPr>
          <w:rFonts w:hint="eastAsia" w:ascii="仿宋_GB2312" w:hAnsi="宋体" w:eastAsia="仿宋_GB2312" w:cs="Times New Roman"/>
          <w:snapToGrid w:val="0"/>
          <w:kern w:val="0"/>
          <w:sz w:val="28"/>
          <w:szCs w:val="28"/>
        </w:rPr>
        <w:t xml:space="preserve">比较法技术路线：①搜集交易实例②选取可比实例③建立价格可比基础④进行交易情况修正⑤进行市场状况调整⑥进行房地产状况调整⑦计算比较价值。 </w:t>
      </w:r>
    </w:p>
    <w:p>
      <w:pPr>
        <w:adjustRightInd w:val="0"/>
        <w:snapToGrid w:val="0"/>
        <w:spacing w:line="360" w:lineRule="auto"/>
        <w:ind w:firstLine="491" w:firstLineChars="146"/>
        <w:rPr>
          <w:rFonts w:hint="eastAsia" w:ascii="仿宋_GB2312" w:hAnsi="宋体" w:eastAsia="仿宋_GB2312" w:cs="Times New Roman"/>
          <w:snapToGrid w:val="0"/>
          <w:kern w:val="0"/>
          <w:sz w:val="28"/>
          <w:szCs w:val="28"/>
        </w:rPr>
      </w:pPr>
      <w:r>
        <w:rPr>
          <w:rFonts w:hint="eastAsia" w:ascii="仿宋_GB2312" w:hAnsi="宋体" w:eastAsia="仿宋_GB2312" w:cs="Times New Roman"/>
          <w:snapToGrid w:val="0"/>
          <w:kern w:val="0"/>
          <w:sz w:val="28"/>
          <w:szCs w:val="28"/>
          <w:lang w:eastAsia="zh-CN"/>
        </w:rPr>
        <w:t>（</w:t>
      </w:r>
      <w:r>
        <w:rPr>
          <w:rFonts w:hint="eastAsia" w:ascii="仿宋_GB2312" w:hAnsi="宋体" w:eastAsia="仿宋_GB2312" w:cs="Times New Roman"/>
          <w:snapToGrid w:val="0"/>
          <w:kern w:val="0"/>
          <w:sz w:val="28"/>
          <w:szCs w:val="28"/>
          <w:lang w:val="en-US" w:eastAsia="zh-CN"/>
        </w:rPr>
        <w:t>2）</w:t>
      </w:r>
      <w:r>
        <w:rPr>
          <w:rFonts w:hint="eastAsia" w:ascii="仿宋_GB2312" w:hAnsi="宋体" w:eastAsia="仿宋_GB2312" w:cs="Times New Roman"/>
          <w:snapToGrid w:val="0"/>
          <w:kern w:val="0"/>
          <w:sz w:val="28"/>
          <w:szCs w:val="28"/>
        </w:rPr>
        <w:t>.采用收益法，测算估价对象的收益价值。</w:t>
      </w:r>
    </w:p>
    <w:p>
      <w:pPr>
        <w:adjustRightInd w:val="0"/>
        <w:snapToGrid w:val="0"/>
        <w:spacing w:line="360" w:lineRule="auto"/>
        <w:ind w:firstLine="491" w:firstLineChars="146"/>
        <w:rPr>
          <w:rFonts w:hint="eastAsia" w:ascii="仿宋_GB2312" w:hAnsi="宋体" w:eastAsia="仿宋_GB2312" w:cs="Times New Roman"/>
          <w:snapToGrid w:val="0"/>
          <w:kern w:val="0"/>
          <w:sz w:val="28"/>
          <w:szCs w:val="28"/>
        </w:rPr>
      </w:pPr>
      <w:r>
        <w:rPr>
          <w:rFonts w:hint="eastAsia" w:ascii="仿宋_GB2312" w:hAnsi="宋体" w:eastAsia="仿宋_GB2312" w:cs="Times New Roman"/>
          <w:snapToGrid w:val="0"/>
          <w:kern w:val="0"/>
          <w:sz w:val="28"/>
          <w:szCs w:val="28"/>
          <w:lang w:val="en-US" w:eastAsia="zh-CN"/>
        </w:rPr>
        <w:t>收益法</w:t>
      </w:r>
      <w:r>
        <w:rPr>
          <w:rFonts w:hint="eastAsia" w:ascii="仿宋_GB2312" w:hAnsi="宋体" w:eastAsia="仿宋_GB2312" w:cs="Times New Roman"/>
          <w:snapToGrid w:val="0"/>
          <w:kern w:val="0"/>
          <w:sz w:val="28"/>
          <w:szCs w:val="28"/>
        </w:rPr>
        <w:t>预测估价对象的未来收益，利用报酬率或资本化率、收益乘数将未来收益转换为价值得到估价对象价值或价格的方法。</w:t>
      </w:r>
    </w:p>
    <w:p>
      <w:pPr>
        <w:adjustRightInd w:val="0"/>
        <w:snapToGrid w:val="0"/>
        <w:spacing w:line="360" w:lineRule="auto"/>
        <w:ind w:firstLine="491" w:firstLineChars="146"/>
        <w:rPr>
          <w:rFonts w:hint="eastAsia" w:ascii="仿宋_GB2312" w:hAnsi="宋体" w:eastAsia="仿宋_GB2312" w:cs="Times New Roman"/>
          <w:snapToGrid w:val="0"/>
          <w:kern w:val="0"/>
          <w:sz w:val="28"/>
          <w:szCs w:val="28"/>
        </w:rPr>
      </w:pPr>
      <w:r>
        <w:rPr>
          <w:rFonts w:hint="eastAsia" w:ascii="仿宋_GB2312" w:hAnsi="宋体" w:eastAsia="仿宋_GB2312" w:cs="Times New Roman"/>
          <w:snapToGrid w:val="0"/>
          <w:kern w:val="0"/>
          <w:sz w:val="28"/>
          <w:szCs w:val="28"/>
        </w:rPr>
        <w:pict>
          <v:shape id="Object 6" o:spid="_x0000_s1029" o:spt="75" type="#_x0000_t75" style="position:absolute;left:0pt;margin-left:69pt;margin-top:3pt;height:41.8pt;width:102.85pt;z-index:-251656192;mso-width-relative:page;mso-height-relative:page;" o:ole="t" filled="f" o:preferrelative="t" stroked="f" coordsize="21600,21600">
            <v:path/>
            <v:fill on="f" focussize="0,0"/>
            <v:stroke on="f"/>
            <v:imagedata r:id="rId10" o:title=""/>
            <o:lock v:ext="edit" aspectratio="t"/>
          </v:shape>
          <o:OLEObject Type="Embed" ProgID="" ShapeID="Object 6" DrawAspect="Content" ObjectID="_1468075725" r:id="rId9">
            <o:LockedField>false</o:LockedField>
          </o:OLEObject>
        </w:pict>
      </w:r>
      <w:r>
        <w:rPr>
          <w:rFonts w:hint="eastAsia" w:ascii="仿宋_GB2312" w:hAnsi="宋体" w:eastAsia="仿宋_GB2312" w:cs="Times New Roman"/>
          <w:snapToGrid w:val="0"/>
          <w:kern w:val="0"/>
          <w:sz w:val="28"/>
          <w:szCs w:val="28"/>
        </w:rPr>
        <w:t xml:space="preserve">公式： </w:t>
      </w:r>
    </w:p>
    <w:p>
      <w:pPr>
        <w:adjustRightInd w:val="0"/>
        <w:snapToGrid w:val="0"/>
        <w:spacing w:line="360" w:lineRule="auto"/>
        <w:ind w:firstLine="491" w:firstLineChars="146"/>
        <w:rPr>
          <w:rFonts w:hint="eastAsia" w:ascii="仿宋_GB2312" w:hAnsi="宋体" w:eastAsia="仿宋_GB2312" w:cs="Times New Roman"/>
          <w:snapToGrid w:val="0"/>
          <w:kern w:val="0"/>
          <w:sz w:val="28"/>
          <w:szCs w:val="28"/>
        </w:rPr>
      </w:pPr>
    </w:p>
    <w:p>
      <w:pPr>
        <w:adjustRightInd w:val="0"/>
        <w:snapToGrid w:val="0"/>
        <w:spacing w:line="360" w:lineRule="auto"/>
        <w:ind w:firstLine="491" w:firstLineChars="146"/>
        <w:rPr>
          <w:rFonts w:hint="eastAsia" w:ascii="仿宋_GB2312" w:hAnsi="宋体" w:eastAsia="仿宋_GB2312" w:cs="Times New Roman"/>
          <w:snapToGrid w:val="0"/>
          <w:kern w:val="0"/>
          <w:sz w:val="28"/>
          <w:szCs w:val="28"/>
        </w:rPr>
      </w:pPr>
      <w:r>
        <w:rPr>
          <w:rFonts w:hint="eastAsia" w:ascii="仿宋_GB2312" w:hAnsi="宋体" w:eastAsia="仿宋_GB2312" w:cs="Times New Roman"/>
          <w:snapToGrid w:val="0"/>
          <w:kern w:val="0"/>
          <w:sz w:val="28"/>
          <w:szCs w:val="28"/>
        </w:rPr>
        <w:t>式中：V=收益价值，</w:t>
      </w:r>
    </w:p>
    <w:p>
      <w:pPr>
        <w:adjustRightInd w:val="0"/>
        <w:snapToGrid w:val="0"/>
        <w:spacing w:line="360" w:lineRule="auto"/>
        <w:ind w:firstLine="491" w:firstLineChars="146"/>
        <w:rPr>
          <w:rFonts w:hint="eastAsia" w:ascii="仿宋_GB2312" w:hAnsi="宋体" w:eastAsia="仿宋_GB2312" w:cs="Times New Roman"/>
          <w:snapToGrid w:val="0"/>
          <w:kern w:val="0"/>
          <w:sz w:val="28"/>
          <w:szCs w:val="28"/>
        </w:rPr>
      </w:pPr>
      <w:r>
        <w:rPr>
          <w:rFonts w:hint="eastAsia" w:ascii="仿宋_GB2312" w:hAnsi="宋体" w:eastAsia="仿宋_GB2312" w:cs="Times New Roman"/>
          <w:snapToGrid w:val="0"/>
          <w:kern w:val="0"/>
          <w:sz w:val="28"/>
          <w:szCs w:val="28"/>
        </w:rPr>
        <w:t>a=房地产的年净收益，</w:t>
      </w:r>
    </w:p>
    <w:p>
      <w:pPr>
        <w:adjustRightInd w:val="0"/>
        <w:snapToGrid w:val="0"/>
        <w:spacing w:line="360" w:lineRule="auto"/>
        <w:ind w:firstLine="491" w:firstLineChars="146"/>
        <w:rPr>
          <w:rFonts w:hint="eastAsia" w:ascii="仿宋_GB2312" w:hAnsi="宋体" w:eastAsia="仿宋_GB2312" w:cs="Times New Roman"/>
          <w:snapToGrid w:val="0"/>
          <w:kern w:val="0"/>
          <w:sz w:val="28"/>
          <w:szCs w:val="28"/>
        </w:rPr>
      </w:pPr>
      <w:r>
        <w:rPr>
          <w:rFonts w:hint="eastAsia" w:ascii="仿宋_GB2312" w:hAnsi="宋体" w:eastAsia="仿宋_GB2312" w:cs="Times New Roman"/>
          <w:snapToGrid w:val="0"/>
          <w:kern w:val="0"/>
          <w:sz w:val="28"/>
          <w:szCs w:val="28"/>
        </w:rPr>
        <w:t>r=房地产的报酬率，</w:t>
      </w:r>
    </w:p>
    <w:p>
      <w:pPr>
        <w:adjustRightInd w:val="0"/>
        <w:snapToGrid w:val="0"/>
        <w:spacing w:line="360" w:lineRule="auto"/>
        <w:ind w:firstLine="491" w:firstLineChars="146"/>
        <w:rPr>
          <w:rFonts w:hint="eastAsia" w:ascii="仿宋_GB2312" w:hAnsi="宋体" w:eastAsia="仿宋_GB2312" w:cs="Times New Roman"/>
          <w:snapToGrid w:val="0"/>
          <w:kern w:val="0"/>
          <w:sz w:val="28"/>
          <w:szCs w:val="28"/>
        </w:rPr>
      </w:pPr>
      <w:r>
        <w:rPr>
          <w:rFonts w:hint="eastAsia" w:ascii="仿宋_GB2312" w:hAnsi="宋体" w:eastAsia="仿宋_GB2312" w:cs="Times New Roman"/>
          <w:snapToGrid w:val="0"/>
          <w:kern w:val="0"/>
          <w:sz w:val="28"/>
          <w:szCs w:val="28"/>
        </w:rPr>
        <w:t>n=房地产的收益期，</w:t>
      </w:r>
    </w:p>
    <w:p>
      <w:pPr>
        <w:adjustRightInd w:val="0"/>
        <w:snapToGrid w:val="0"/>
        <w:spacing w:line="360" w:lineRule="auto"/>
        <w:ind w:firstLine="491" w:firstLineChars="146"/>
        <w:rPr>
          <w:rFonts w:hint="eastAsia" w:ascii="仿宋_GB2312" w:hAnsi="宋体" w:eastAsia="仿宋_GB2312" w:cs="Times New Roman"/>
          <w:snapToGrid w:val="0"/>
          <w:kern w:val="0"/>
          <w:sz w:val="28"/>
          <w:szCs w:val="28"/>
        </w:rPr>
      </w:pPr>
      <w:r>
        <w:rPr>
          <w:rFonts w:hint="eastAsia" w:ascii="仿宋_GB2312" w:hAnsi="宋体" w:eastAsia="仿宋_GB2312" w:cs="Times New Roman"/>
          <w:snapToGrid w:val="0"/>
          <w:kern w:val="0"/>
          <w:sz w:val="28"/>
          <w:szCs w:val="28"/>
        </w:rPr>
        <w:t>g=净收益递增比例。</w:t>
      </w:r>
    </w:p>
    <w:p>
      <w:pPr>
        <w:numPr>
          <w:ilvl w:val="0"/>
          <w:numId w:val="0"/>
        </w:numPr>
        <w:adjustRightInd w:val="0"/>
        <w:snapToGrid w:val="0"/>
        <w:spacing w:line="360" w:lineRule="auto"/>
        <w:ind w:firstLine="337" w:firstLineChars="100"/>
        <w:rPr>
          <w:rFonts w:hint="eastAsia" w:ascii="仿宋_GB2312" w:hAnsi="宋体" w:eastAsia="仿宋_GB2312"/>
          <w:snapToGrid w:val="0"/>
          <w:color w:val="auto"/>
          <w:kern w:val="0"/>
          <w:sz w:val="28"/>
          <w:szCs w:val="28"/>
        </w:rPr>
      </w:pPr>
      <w:r>
        <w:rPr>
          <w:rFonts w:hint="eastAsia" w:ascii="仿宋_GB2312" w:hAnsi="宋体" w:eastAsia="仿宋_GB2312"/>
          <w:snapToGrid w:val="0"/>
          <w:color w:val="auto"/>
          <w:kern w:val="0"/>
          <w:sz w:val="28"/>
          <w:szCs w:val="28"/>
        </w:rPr>
        <w:t>（</w:t>
      </w:r>
      <w:r>
        <w:rPr>
          <w:rFonts w:hint="eastAsia" w:ascii="仿宋_GB2312" w:hAnsi="宋体" w:eastAsia="仿宋_GB2312"/>
          <w:snapToGrid w:val="0"/>
          <w:color w:val="auto"/>
          <w:kern w:val="0"/>
          <w:sz w:val="28"/>
          <w:szCs w:val="28"/>
          <w:lang w:val="en-US" w:eastAsia="zh-CN"/>
        </w:rPr>
        <w:t>5</w:t>
      </w:r>
      <w:r>
        <w:rPr>
          <w:rFonts w:hint="eastAsia" w:ascii="仿宋_GB2312" w:hAnsi="宋体" w:eastAsia="仿宋_GB2312"/>
          <w:snapToGrid w:val="0"/>
          <w:color w:val="auto"/>
          <w:kern w:val="0"/>
          <w:sz w:val="28"/>
          <w:szCs w:val="28"/>
        </w:rPr>
        <w:t>）.分析两种估价结果的差异性，最终确定估价对象的市场价值。</w:t>
      </w:r>
    </w:p>
    <w:p>
      <w:pPr>
        <w:adjustRightInd w:val="0"/>
        <w:snapToGrid w:val="0"/>
        <w:spacing w:line="360" w:lineRule="auto"/>
        <w:ind w:firstLine="491" w:firstLineChars="146"/>
        <w:rPr>
          <w:rFonts w:hint="eastAsia" w:ascii="仿宋_GB2312" w:hAnsi="宋体" w:eastAsia="仿宋_GB2312"/>
          <w:snapToGrid w:val="0"/>
          <w:color w:val="auto"/>
          <w:kern w:val="0"/>
          <w:sz w:val="28"/>
          <w:szCs w:val="28"/>
          <w:lang w:val="en-US" w:eastAsia="zh-CN"/>
        </w:rPr>
      </w:pPr>
    </w:p>
    <w:p>
      <w:pPr>
        <w:adjustRightInd w:val="0"/>
        <w:snapToGrid w:val="0"/>
        <w:spacing w:line="360" w:lineRule="auto"/>
        <w:ind w:firstLine="491" w:firstLineChars="146"/>
        <w:rPr>
          <w:rFonts w:hint="eastAsia" w:ascii="仿宋_GB2312" w:hAnsi="宋体" w:eastAsia="仿宋_GB2312" w:cs="Times New Roman"/>
          <w:snapToGrid w:val="0"/>
          <w:color w:val="auto"/>
          <w:kern w:val="0"/>
          <w:sz w:val="28"/>
          <w:szCs w:val="28"/>
        </w:rPr>
      </w:pPr>
      <w:r>
        <w:rPr>
          <w:rFonts w:hint="eastAsia" w:ascii="仿宋_GB2312" w:hAnsi="宋体" w:eastAsia="仿宋_GB2312" w:cs="Times New Roman"/>
          <w:snapToGrid w:val="0"/>
          <w:color w:val="auto"/>
          <w:kern w:val="0"/>
          <w:sz w:val="28"/>
          <w:szCs w:val="28"/>
          <w:lang w:val="en-US" w:eastAsia="zh-CN"/>
        </w:rPr>
        <w:t>1、</w:t>
      </w:r>
      <w:r>
        <w:rPr>
          <w:rFonts w:hint="eastAsia" w:ascii="仿宋_GB2312" w:hAnsi="宋体" w:eastAsia="仿宋_GB2312" w:cs="Times New Roman"/>
          <w:snapToGrid w:val="0"/>
          <w:color w:val="auto"/>
          <w:kern w:val="0"/>
          <w:sz w:val="28"/>
          <w:szCs w:val="28"/>
        </w:rPr>
        <w:t>比较法的本质是以房地产的实际成交价格为正常成交价格来求取房地产的价值，其理论依据是房地产价格形成的替代原理。</w:t>
      </w:r>
    </w:p>
    <w:p>
      <w:pPr>
        <w:adjustRightInd w:val="0"/>
        <w:snapToGrid w:val="0"/>
        <w:spacing w:line="360" w:lineRule="auto"/>
        <w:ind w:firstLine="337" w:firstLineChars="100"/>
        <w:rPr>
          <w:rFonts w:hint="eastAsia" w:ascii="仿宋_GB2312" w:hAnsi="宋体" w:eastAsia="仿宋_GB2312"/>
          <w:snapToGrid w:val="0"/>
          <w:color w:val="auto"/>
          <w:kern w:val="0"/>
          <w:sz w:val="28"/>
          <w:szCs w:val="28"/>
        </w:rPr>
      </w:pPr>
      <w:r>
        <w:rPr>
          <w:rFonts w:hint="eastAsia" w:ascii="仿宋_GB2312" w:hAnsi="宋体" w:eastAsia="仿宋_GB2312"/>
          <w:snapToGrid w:val="0"/>
          <w:color w:val="auto"/>
          <w:kern w:val="0"/>
          <w:sz w:val="28"/>
          <w:szCs w:val="28"/>
          <w:lang w:val="en-US" w:eastAsia="zh-CN"/>
        </w:rPr>
        <w:t>2、</w:t>
      </w:r>
      <w:r>
        <w:rPr>
          <w:rFonts w:hint="eastAsia" w:ascii="仿宋_GB2312" w:hAnsi="宋体" w:eastAsia="仿宋_GB2312"/>
          <w:snapToGrid w:val="0"/>
          <w:color w:val="auto"/>
          <w:kern w:val="0"/>
          <w:sz w:val="28"/>
          <w:szCs w:val="28"/>
        </w:rPr>
        <w:t>收益法</w:t>
      </w:r>
      <w:r>
        <w:rPr>
          <w:rFonts w:hint="eastAsia" w:ascii="仿宋_GB2312" w:hAnsi="宋体" w:eastAsia="仿宋_GB2312"/>
          <w:snapToGrid w:val="0"/>
          <w:color w:val="auto"/>
          <w:kern w:val="0"/>
          <w:sz w:val="28"/>
          <w:szCs w:val="28"/>
          <w:lang w:eastAsia="zh-CN"/>
        </w:rPr>
        <w:t>：</w:t>
      </w:r>
      <w:r>
        <w:rPr>
          <w:rFonts w:hint="eastAsia" w:ascii="仿宋_GB2312" w:hAnsi="宋体" w:eastAsia="仿宋_GB2312"/>
          <w:snapToGrid w:val="0"/>
          <w:color w:val="auto"/>
          <w:kern w:val="0"/>
          <w:sz w:val="28"/>
          <w:szCs w:val="28"/>
        </w:rPr>
        <w:t>是预计估价对象的未来收益，利用报酬率或资本化率，收益乘数将未来收益转换为价值得到估价对象价值或价格的方法。</w:t>
      </w:r>
    </w:p>
    <w:p>
      <w:pPr>
        <w:pStyle w:val="3"/>
        <w:spacing w:line="360" w:lineRule="auto"/>
        <w:jc w:val="left"/>
        <w:rPr>
          <w:rFonts w:hint="eastAsia" w:ascii="黑体" w:eastAsia="黑体"/>
          <w:snapToGrid w:val="0"/>
          <w:kern w:val="0"/>
          <w:sz w:val="30"/>
          <w:szCs w:val="30"/>
        </w:rPr>
      </w:pPr>
      <w:bookmarkStart w:id="41" w:name="_Toc21438"/>
      <w:r>
        <w:rPr>
          <w:rFonts w:hint="eastAsia" w:ascii="黑体" w:eastAsia="黑体"/>
          <w:snapToGrid w:val="0"/>
          <w:kern w:val="0"/>
          <w:sz w:val="30"/>
          <w:szCs w:val="30"/>
        </w:rPr>
        <w:t>（十）估价结果</w:t>
      </w:r>
      <w:bookmarkEnd w:id="41"/>
    </w:p>
    <w:p>
      <w:pPr>
        <w:pStyle w:val="35"/>
        <w:adjustRightInd w:val="0"/>
        <w:snapToGrid w:val="0"/>
        <w:ind w:firstLine="505" w:firstLineChars="150"/>
        <w:rPr>
          <w:rFonts w:hint="eastAsia" w:ascii="仿宋_GB2312" w:eastAsia="仿宋_GB2312"/>
          <w:snapToGrid w:val="0"/>
          <w:sz w:val="28"/>
          <w:szCs w:val="28"/>
        </w:rPr>
      </w:pPr>
      <w:r>
        <w:rPr>
          <w:rFonts w:hint="eastAsia" w:ascii="仿宋_GB2312" w:eastAsia="仿宋_GB2312"/>
          <w:snapToGrid w:val="0"/>
          <w:sz w:val="28"/>
          <w:szCs w:val="28"/>
        </w:rPr>
        <w:t>本着</w:t>
      </w:r>
      <w:r>
        <w:rPr>
          <w:rFonts w:ascii="仿宋_GB2312" w:eastAsia="仿宋_GB2312"/>
          <w:snapToGrid w:val="0"/>
          <w:sz w:val="28"/>
          <w:szCs w:val="28"/>
        </w:rPr>
        <w:t>独立、客观、公正、合法的原则</w:t>
      </w:r>
      <w:r>
        <w:rPr>
          <w:rFonts w:hint="eastAsia" w:ascii="仿宋_GB2312" w:eastAsia="仿宋_GB2312"/>
          <w:snapToGrid w:val="0"/>
          <w:sz w:val="28"/>
          <w:szCs w:val="28"/>
        </w:rPr>
        <w:t>，估价人员在进行实地查勘、广泛收集有关市场信息和估价对象信息的基础上，全面分析了影响估价对象价值的各项有利和不利因素，根据国家有关房地产估价的法律法规和估价目的，按照科学的估价程序，并运用</w:t>
      </w:r>
      <w:r>
        <w:rPr>
          <w:rFonts w:hint="eastAsia" w:ascii="仿宋_GB2312" w:eastAsia="仿宋_GB2312"/>
          <w:snapToGrid w:val="0"/>
          <w:sz w:val="28"/>
          <w:szCs w:val="28"/>
          <w:lang w:val="en-US" w:eastAsia="zh-CN"/>
        </w:rPr>
        <w:t>比较法及</w:t>
      </w:r>
      <w:r>
        <w:rPr>
          <w:rFonts w:hint="eastAsia" w:ascii="仿宋_GB2312" w:eastAsia="仿宋_GB2312"/>
          <w:snapToGrid w:val="0"/>
          <w:sz w:val="28"/>
          <w:szCs w:val="28"/>
        </w:rPr>
        <w:t>收益法，对估价对象进行价值测算</w:t>
      </w:r>
      <w:r>
        <w:rPr>
          <w:rFonts w:ascii="仿宋_GB2312" w:eastAsia="仿宋_GB2312"/>
          <w:snapToGrid w:val="0"/>
          <w:sz w:val="28"/>
          <w:szCs w:val="28"/>
        </w:rPr>
        <w:t>，</w:t>
      </w:r>
      <w:r>
        <w:rPr>
          <w:rFonts w:hint="eastAsia" w:ascii="仿宋_GB2312" w:eastAsia="仿宋_GB2312"/>
          <w:snapToGrid w:val="0"/>
          <w:sz w:val="28"/>
          <w:szCs w:val="28"/>
        </w:rPr>
        <w:t>确定估价对象（建筑面积为</w:t>
      </w:r>
      <w:r>
        <w:rPr>
          <w:rFonts w:hint="eastAsia" w:ascii="仿宋_GB2312" w:eastAsia="仿宋_GB2312"/>
          <w:snapToGrid w:val="0"/>
          <w:sz w:val="28"/>
          <w:szCs w:val="28"/>
          <w:lang w:eastAsia="zh-CN"/>
        </w:rPr>
        <w:t>3563.7</w:t>
      </w:r>
      <w:r>
        <w:rPr>
          <w:rFonts w:hint="eastAsia" w:ascii="仿宋_GB2312" w:eastAsia="仿宋_GB2312"/>
          <w:snapToGrid w:val="0"/>
          <w:sz w:val="28"/>
          <w:szCs w:val="28"/>
        </w:rPr>
        <w:t>平方米）于价值时点</w:t>
      </w:r>
      <w:r>
        <w:rPr>
          <w:rFonts w:hint="eastAsia" w:ascii="仿宋_GB2312" w:eastAsia="仿宋_GB2312"/>
          <w:snapToGrid w:val="0"/>
          <w:sz w:val="28"/>
          <w:szCs w:val="28"/>
          <w:lang w:eastAsia="zh-CN"/>
        </w:rPr>
        <w:t>2024年2月1日</w:t>
      </w:r>
      <w:r>
        <w:rPr>
          <w:rFonts w:hint="eastAsia" w:ascii="仿宋_GB2312" w:eastAsia="仿宋_GB2312"/>
          <w:snapToGrid w:val="0"/>
          <w:sz w:val="28"/>
          <w:szCs w:val="28"/>
        </w:rPr>
        <w:t>的市场价格为</w:t>
      </w:r>
      <w:r>
        <w:rPr>
          <w:rFonts w:hint="eastAsia" w:ascii="仿宋_GB2312" w:eastAsia="仿宋_GB2312"/>
          <w:snapToGrid w:val="0"/>
          <w:sz w:val="28"/>
          <w:szCs w:val="28"/>
          <w:lang w:eastAsia="zh-CN"/>
        </w:rPr>
        <w:t>583.29</w:t>
      </w:r>
      <w:r>
        <w:rPr>
          <w:rFonts w:hint="eastAsia" w:ascii="仿宋_GB2312" w:eastAsia="仿宋_GB2312"/>
          <w:snapToGrid w:val="0"/>
          <w:sz w:val="28"/>
          <w:szCs w:val="28"/>
        </w:rPr>
        <w:t>万元人民币，大写人民币</w:t>
      </w:r>
      <w:r>
        <w:rPr>
          <w:rFonts w:hint="eastAsia" w:ascii="仿宋_GB2312" w:eastAsia="仿宋_GB2312"/>
          <w:b/>
          <w:snapToGrid w:val="0"/>
          <w:sz w:val="28"/>
          <w:szCs w:val="28"/>
          <w:lang w:eastAsia="zh-CN"/>
        </w:rPr>
        <w:t>伍佰捌拾叁万贰仟玖佰</w:t>
      </w:r>
      <w:r>
        <w:rPr>
          <w:rFonts w:hint="eastAsia" w:ascii="仿宋_GB2312" w:eastAsia="仿宋_GB2312"/>
          <w:snapToGrid w:val="0"/>
          <w:sz w:val="28"/>
          <w:szCs w:val="28"/>
        </w:rPr>
        <w:t>元整。估价结果详见《估价结果明细表》。</w:t>
      </w:r>
    </w:p>
    <w:p>
      <w:pPr>
        <w:adjustRightInd w:val="0"/>
        <w:snapToGrid w:val="0"/>
        <w:spacing w:line="360" w:lineRule="auto"/>
        <w:jc w:val="center"/>
        <w:rPr>
          <w:rFonts w:ascii="黑体" w:hAnsi="黑体" w:eastAsia="黑体"/>
          <w:kern w:val="0"/>
          <w:sz w:val="28"/>
          <w:szCs w:val="28"/>
        </w:rPr>
      </w:pPr>
      <w:bookmarkStart w:id="42" w:name="_Toc257"/>
      <w:r>
        <w:rPr>
          <w:rFonts w:hint="eastAsia" w:ascii="仿宋_GB2312" w:hAnsi="Arial" w:eastAsia="仿宋_GB2312"/>
          <w:b/>
          <w:snapToGrid w:val="0"/>
          <w:sz w:val="28"/>
        </w:rPr>
        <w:t>估价结果明细表</w:t>
      </w:r>
    </w:p>
    <w:tbl>
      <w:tblPr>
        <w:tblStyle w:val="45"/>
        <w:tblW w:w="5055" w:type="pct"/>
        <w:tblInd w:w="0" w:type="dxa"/>
        <w:tblLayout w:type="autofit"/>
        <w:tblCellMar>
          <w:top w:w="0" w:type="dxa"/>
          <w:left w:w="108" w:type="dxa"/>
          <w:bottom w:w="0" w:type="dxa"/>
          <w:right w:w="108" w:type="dxa"/>
        </w:tblCellMar>
      </w:tblPr>
      <w:tblGrid>
        <w:gridCol w:w="1511"/>
        <w:gridCol w:w="2277"/>
        <w:gridCol w:w="1675"/>
        <w:gridCol w:w="1256"/>
        <w:gridCol w:w="1068"/>
        <w:gridCol w:w="1147"/>
        <w:gridCol w:w="1139"/>
      </w:tblGrid>
      <w:tr>
        <w:tblPrEx>
          <w:tblCellMar>
            <w:top w:w="0" w:type="dxa"/>
            <w:left w:w="108" w:type="dxa"/>
            <w:bottom w:w="0" w:type="dxa"/>
            <w:right w:w="108" w:type="dxa"/>
          </w:tblCellMar>
        </w:tblPrEx>
        <w:trPr>
          <w:trHeight w:val="275" w:hRule="atLeast"/>
        </w:trPr>
        <w:tc>
          <w:tcPr>
            <w:tcW w:w="7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auto"/>
                <w:sz w:val="20"/>
                <w:highlight w:val="none"/>
              </w:rPr>
            </w:pPr>
            <w:r>
              <w:rPr>
                <w:rFonts w:hint="eastAsia" w:ascii="仿宋" w:hAnsi="仿宋" w:eastAsia="仿宋" w:cs="仿宋"/>
                <w:b/>
                <w:bCs/>
                <w:color w:val="auto"/>
                <w:kern w:val="0"/>
                <w:sz w:val="20"/>
                <w:highlight w:val="none"/>
                <w:lang w:bidi="ar"/>
              </w:rPr>
              <w:t>权证号</w:t>
            </w:r>
          </w:p>
        </w:tc>
        <w:tc>
          <w:tcPr>
            <w:tcW w:w="113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auto"/>
                <w:sz w:val="20"/>
                <w:highlight w:val="none"/>
              </w:rPr>
            </w:pPr>
            <w:r>
              <w:rPr>
                <w:rFonts w:hint="eastAsia" w:ascii="仿宋" w:hAnsi="仿宋" w:eastAsia="仿宋" w:cs="仿宋"/>
                <w:b/>
                <w:bCs/>
                <w:color w:val="auto"/>
                <w:kern w:val="0"/>
                <w:sz w:val="20"/>
                <w:highlight w:val="none"/>
                <w:lang w:bidi="ar"/>
              </w:rPr>
              <w:t>坐落</w:t>
            </w:r>
          </w:p>
        </w:tc>
        <w:tc>
          <w:tcPr>
            <w:tcW w:w="83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auto"/>
                <w:sz w:val="20"/>
                <w:highlight w:val="none"/>
              </w:rPr>
            </w:pPr>
            <w:r>
              <w:rPr>
                <w:rFonts w:hint="eastAsia" w:ascii="仿宋" w:hAnsi="仿宋" w:eastAsia="仿宋" w:cs="仿宋"/>
                <w:b/>
                <w:bCs/>
                <w:color w:val="auto"/>
                <w:kern w:val="0"/>
                <w:sz w:val="20"/>
                <w:highlight w:val="none"/>
                <w:lang w:bidi="ar"/>
              </w:rPr>
              <w:t>权属人</w:t>
            </w:r>
          </w:p>
        </w:tc>
        <w:tc>
          <w:tcPr>
            <w:tcW w:w="62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auto"/>
                <w:sz w:val="20"/>
                <w:highlight w:val="none"/>
              </w:rPr>
            </w:pPr>
            <w:r>
              <w:rPr>
                <w:rFonts w:hint="eastAsia" w:ascii="仿宋" w:hAnsi="仿宋" w:eastAsia="仿宋" w:cs="仿宋"/>
                <w:b/>
                <w:bCs/>
                <w:color w:val="auto"/>
                <w:kern w:val="0"/>
                <w:sz w:val="20"/>
                <w:highlight w:val="none"/>
                <w:lang w:bidi="ar"/>
              </w:rPr>
              <w:t>结构</w:t>
            </w:r>
          </w:p>
        </w:tc>
        <w:tc>
          <w:tcPr>
            <w:tcW w:w="53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auto"/>
                <w:sz w:val="20"/>
                <w:highlight w:val="none"/>
              </w:rPr>
            </w:pPr>
            <w:r>
              <w:rPr>
                <w:rFonts w:hint="eastAsia" w:ascii="仿宋" w:hAnsi="仿宋" w:eastAsia="仿宋" w:cs="仿宋"/>
                <w:b/>
                <w:bCs/>
                <w:color w:val="auto"/>
                <w:kern w:val="0"/>
                <w:sz w:val="20"/>
                <w:highlight w:val="none"/>
                <w:lang w:bidi="ar"/>
              </w:rPr>
              <w:t>建筑面积       （㎡）</w:t>
            </w:r>
          </w:p>
        </w:tc>
        <w:tc>
          <w:tcPr>
            <w:tcW w:w="569"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auto"/>
                <w:sz w:val="20"/>
                <w:highlight w:val="none"/>
              </w:rPr>
            </w:pPr>
            <w:r>
              <w:rPr>
                <w:rFonts w:hint="eastAsia" w:ascii="仿宋" w:hAnsi="仿宋" w:eastAsia="仿宋" w:cs="仿宋"/>
                <w:b/>
                <w:bCs/>
                <w:color w:val="auto"/>
                <w:kern w:val="0"/>
                <w:sz w:val="20"/>
                <w:highlight w:val="none"/>
                <w:lang w:bidi="ar"/>
              </w:rPr>
              <w:t>单价        （元/㎡）</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auto"/>
                <w:sz w:val="20"/>
                <w:highlight w:val="none"/>
              </w:rPr>
            </w:pPr>
            <w:r>
              <w:rPr>
                <w:rFonts w:hint="eastAsia" w:ascii="仿宋" w:hAnsi="仿宋" w:eastAsia="仿宋" w:cs="仿宋"/>
                <w:b/>
                <w:bCs/>
                <w:color w:val="auto"/>
                <w:kern w:val="0"/>
                <w:sz w:val="20"/>
                <w:highlight w:val="none"/>
                <w:lang w:bidi="ar"/>
              </w:rPr>
              <w:t>总估值      （万元）</w:t>
            </w:r>
          </w:p>
        </w:tc>
      </w:tr>
      <w:tr>
        <w:tblPrEx>
          <w:tblCellMar>
            <w:top w:w="0" w:type="dxa"/>
            <w:left w:w="108" w:type="dxa"/>
            <w:bottom w:w="0" w:type="dxa"/>
            <w:right w:w="108" w:type="dxa"/>
          </w:tblCellMar>
        </w:tblPrEx>
        <w:trPr>
          <w:trHeight w:val="430" w:hRule="atLeast"/>
        </w:trPr>
        <w:tc>
          <w:tcPr>
            <w:tcW w:w="750" w:type="pct"/>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color w:val="auto"/>
                <w:kern w:val="0"/>
                <w:sz w:val="20"/>
                <w:highlight w:val="none"/>
                <w:lang w:eastAsia="zh-CN" w:bidi="ar"/>
              </w:rPr>
            </w:pPr>
            <w:r>
              <w:rPr>
                <w:rFonts w:hint="eastAsia" w:ascii="仿宋" w:hAnsi="仿宋" w:eastAsia="仿宋" w:cs="仿宋"/>
                <w:color w:val="auto"/>
                <w:kern w:val="0"/>
                <w:sz w:val="20"/>
                <w:highlight w:val="none"/>
                <w:lang w:eastAsia="zh-CN" w:bidi="ar"/>
              </w:rPr>
              <w:t>粤房字第0944739号</w:t>
            </w:r>
          </w:p>
        </w:tc>
        <w:tc>
          <w:tcPr>
            <w:tcW w:w="1130" w:type="pct"/>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color w:val="auto"/>
                <w:kern w:val="0"/>
                <w:sz w:val="20"/>
                <w:highlight w:val="none"/>
                <w:lang w:eastAsia="zh-CN" w:bidi="ar"/>
              </w:rPr>
            </w:pPr>
            <w:r>
              <w:rPr>
                <w:rFonts w:hint="eastAsia" w:ascii="仿宋" w:hAnsi="仿宋" w:eastAsia="仿宋" w:cs="仿宋"/>
                <w:color w:val="auto"/>
                <w:kern w:val="0"/>
                <w:sz w:val="20"/>
                <w:highlight w:val="none"/>
                <w:lang w:eastAsia="zh-CN" w:bidi="ar"/>
              </w:rPr>
              <w:t>揭阳市惠来县惠城镇葵阳对外工业区家用电器厂</w:t>
            </w:r>
          </w:p>
        </w:tc>
        <w:tc>
          <w:tcPr>
            <w:tcW w:w="831" w:type="pct"/>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color w:val="auto"/>
                <w:kern w:val="0"/>
                <w:sz w:val="20"/>
                <w:highlight w:val="none"/>
                <w:lang w:eastAsia="zh-CN" w:bidi="ar"/>
              </w:rPr>
            </w:pPr>
            <w:r>
              <w:rPr>
                <w:rFonts w:hint="eastAsia" w:ascii="仿宋" w:hAnsi="仿宋" w:eastAsia="仿宋" w:cs="仿宋"/>
                <w:color w:val="auto"/>
                <w:kern w:val="0"/>
                <w:sz w:val="20"/>
                <w:highlight w:val="none"/>
                <w:lang w:eastAsia="zh-CN" w:bidi="ar"/>
              </w:rPr>
              <w:t>惠来县进出口贸易公司</w:t>
            </w:r>
          </w:p>
        </w:tc>
        <w:tc>
          <w:tcPr>
            <w:tcW w:w="622" w:type="pct"/>
            <w:vMerge w:val="restart"/>
            <w:tcBorders>
              <w:top w:val="single" w:color="000000" w:sz="4" w:space="0"/>
              <w:left w:val="single" w:color="000000" w:sz="4" w:space="0"/>
              <w:right w:val="single" w:color="000000" w:sz="4" w:space="0"/>
            </w:tcBorders>
            <w:vAlign w:val="center"/>
          </w:tcPr>
          <w:p>
            <w:pPr>
              <w:widowControl/>
              <w:jc w:val="center"/>
              <w:textAlignment w:val="center"/>
              <w:rPr>
                <w:rFonts w:ascii="仿宋" w:hAnsi="仿宋" w:eastAsia="仿宋" w:cs="仿宋"/>
                <w:color w:val="auto"/>
                <w:kern w:val="0"/>
                <w:sz w:val="20"/>
                <w:highlight w:val="none"/>
                <w:lang w:bidi="ar"/>
              </w:rPr>
            </w:pPr>
            <w:r>
              <w:rPr>
                <w:rFonts w:hint="eastAsia" w:ascii="仿宋" w:hAnsi="仿宋" w:eastAsia="仿宋" w:cs="仿宋"/>
                <w:color w:val="auto"/>
                <w:kern w:val="0"/>
                <w:sz w:val="20"/>
                <w:highlight w:val="none"/>
                <w:lang w:bidi="ar"/>
              </w:rPr>
              <w:t>钢筋混凝土</w:t>
            </w:r>
          </w:p>
        </w:tc>
        <w:tc>
          <w:tcPr>
            <w:tcW w:w="53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1953.7</w:t>
            </w:r>
          </w:p>
        </w:tc>
        <w:tc>
          <w:tcPr>
            <w:tcW w:w="56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1700.00 </w:t>
            </w:r>
          </w:p>
        </w:tc>
        <w:tc>
          <w:tcPr>
            <w:tcW w:w="565"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332.13 </w:t>
            </w:r>
          </w:p>
        </w:tc>
      </w:tr>
      <w:tr>
        <w:tblPrEx>
          <w:tblCellMar>
            <w:top w:w="0" w:type="dxa"/>
            <w:left w:w="108" w:type="dxa"/>
            <w:bottom w:w="0" w:type="dxa"/>
            <w:right w:w="108" w:type="dxa"/>
          </w:tblCellMar>
        </w:tblPrEx>
        <w:trPr>
          <w:trHeight w:val="430" w:hRule="atLeast"/>
        </w:trPr>
        <w:tc>
          <w:tcPr>
            <w:tcW w:w="750" w:type="pct"/>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auto"/>
                <w:kern w:val="0"/>
                <w:sz w:val="20"/>
                <w:highlight w:val="none"/>
                <w:lang w:eastAsia="zh-CN" w:bidi="ar"/>
              </w:rPr>
            </w:pPr>
          </w:p>
        </w:tc>
        <w:tc>
          <w:tcPr>
            <w:tcW w:w="1130" w:type="pct"/>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auto"/>
                <w:kern w:val="0"/>
                <w:sz w:val="20"/>
                <w:highlight w:val="none"/>
                <w:lang w:eastAsia="zh-CN" w:bidi="ar"/>
              </w:rPr>
            </w:pPr>
          </w:p>
        </w:tc>
        <w:tc>
          <w:tcPr>
            <w:tcW w:w="831" w:type="pct"/>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auto"/>
                <w:kern w:val="0"/>
                <w:sz w:val="20"/>
                <w:highlight w:val="none"/>
                <w:lang w:eastAsia="zh-CN" w:bidi="ar"/>
              </w:rPr>
            </w:pPr>
          </w:p>
        </w:tc>
        <w:tc>
          <w:tcPr>
            <w:tcW w:w="622" w:type="pct"/>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auto"/>
                <w:kern w:val="0"/>
                <w:sz w:val="20"/>
                <w:highlight w:val="none"/>
                <w:lang w:bidi="ar"/>
              </w:rPr>
            </w:pPr>
          </w:p>
        </w:tc>
        <w:tc>
          <w:tcPr>
            <w:tcW w:w="53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1610</w:t>
            </w:r>
          </w:p>
        </w:tc>
        <w:tc>
          <w:tcPr>
            <w:tcW w:w="56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1560.00 </w:t>
            </w:r>
          </w:p>
        </w:tc>
        <w:tc>
          <w:tcPr>
            <w:tcW w:w="565"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251.16 </w:t>
            </w:r>
          </w:p>
        </w:tc>
      </w:tr>
      <w:tr>
        <w:tblPrEx>
          <w:tblCellMar>
            <w:top w:w="0" w:type="dxa"/>
            <w:left w:w="108" w:type="dxa"/>
            <w:bottom w:w="0" w:type="dxa"/>
            <w:right w:w="108" w:type="dxa"/>
          </w:tblCellMar>
        </w:tblPrEx>
        <w:trPr>
          <w:trHeight w:val="430" w:hRule="atLeast"/>
        </w:trPr>
        <w:tc>
          <w:tcPr>
            <w:tcW w:w="3334" w:type="pct"/>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auto"/>
                <w:kern w:val="0"/>
                <w:sz w:val="20"/>
                <w:highlight w:val="none"/>
                <w:lang w:eastAsia="zh-CN" w:bidi="ar"/>
              </w:rPr>
            </w:pPr>
            <w:r>
              <w:rPr>
                <w:rFonts w:hint="eastAsia" w:ascii="仿宋" w:hAnsi="仿宋" w:eastAsia="仿宋" w:cs="仿宋"/>
                <w:color w:val="auto"/>
                <w:kern w:val="0"/>
                <w:sz w:val="20"/>
                <w:highlight w:val="none"/>
                <w:lang w:eastAsia="zh-CN" w:bidi="ar"/>
              </w:rPr>
              <w:t>合计</w:t>
            </w:r>
          </w:p>
        </w:tc>
        <w:tc>
          <w:tcPr>
            <w:tcW w:w="530"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3563.7</w:t>
            </w:r>
          </w:p>
        </w:tc>
        <w:tc>
          <w:tcPr>
            <w:tcW w:w="56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w:t>
            </w:r>
          </w:p>
        </w:tc>
        <w:tc>
          <w:tcPr>
            <w:tcW w:w="565"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583.29 </w:t>
            </w:r>
          </w:p>
        </w:tc>
      </w:tr>
    </w:tbl>
    <w:p>
      <w:pPr>
        <w:widowControl w:val="0"/>
        <w:snapToGrid w:val="0"/>
        <w:spacing w:line="360" w:lineRule="auto"/>
        <w:ind w:firstLine="514" w:firstLineChars="200"/>
        <w:rPr>
          <w:rFonts w:hint="eastAsia" w:ascii="仿宋_GB2312" w:hAnsi="仿宋" w:eastAsia="仿宋_GB2312" w:cs="仿宋"/>
          <w:snapToGrid w:val="0"/>
          <w:sz w:val="20"/>
          <w:szCs w:val="20"/>
          <w:lang w:val="en-US" w:eastAsia="zh-CN"/>
        </w:rPr>
      </w:pPr>
      <w:r>
        <w:rPr>
          <w:rFonts w:hint="eastAsia" w:ascii="仿宋_GB2312" w:hAnsi="仿宋" w:eastAsia="仿宋_GB2312" w:cs="仿宋"/>
          <w:snapToGrid w:val="0"/>
          <w:color w:val="auto"/>
          <w:sz w:val="20"/>
          <w:szCs w:val="20"/>
          <w:highlight w:val="none"/>
          <w:lang w:val="en-US" w:eastAsia="zh-CN"/>
        </w:rPr>
        <w:t>备注：本估价结果为房地产市场价值，仅包含估价对象房屋建筑物及占用的土地使用权市场价值，同时包含满足估价对象功能需要的水、电、消防等配套设施价值及附着于房地产实现其使用功能的装饰装修价值，不包含动产（如可移动的存货、家具、电器等物品）、债权债务、特许经营权等其他财产价值。</w:t>
      </w:r>
    </w:p>
    <w:p>
      <w:pPr>
        <w:pStyle w:val="2"/>
        <w:rPr>
          <w:rFonts w:hint="eastAsia" w:ascii="仿宋_GB2312" w:hAnsi="仿宋" w:eastAsia="仿宋_GB2312" w:cs="仿宋"/>
          <w:snapToGrid w:val="0"/>
          <w:sz w:val="20"/>
          <w:szCs w:val="20"/>
          <w:lang w:val="en-US" w:eastAsia="zh-CN"/>
        </w:rPr>
      </w:pPr>
    </w:p>
    <w:p>
      <w:pPr>
        <w:pStyle w:val="2"/>
        <w:rPr>
          <w:rFonts w:hint="eastAsia" w:ascii="仿宋_GB2312" w:hAnsi="仿宋" w:eastAsia="仿宋_GB2312" w:cs="仿宋"/>
          <w:snapToGrid w:val="0"/>
          <w:sz w:val="20"/>
          <w:szCs w:val="20"/>
          <w:lang w:val="en-US" w:eastAsia="zh-CN"/>
        </w:rPr>
      </w:pPr>
    </w:p>
    <w:p>
      <w:pPr>
        <w:pStyle w:val="2"/>
        <w:rPr>
          <w:rFonts w:hint="eastAsia" w:ascii="仿宋_GB2312" w:hAnsi="仿宋" w:eastAsia="仿宋_GB2312" w:cs="仿宋"/>
          <w:snapToGrid w:val="0"/>
          <w:sz w:val="20"/>
          <w:szCs w:val="20"/>
          <w:lang w:val="en-US" w:eastAsia="zh-CN"/>
        </w:rPr>
      </w:pPr>
    </w:p>
    <w:p>
      <w:pPr>
        <w:pStyle w:val="2"/>
        <w:rPr>
          <w:rFonts w:hint="eastAsia" w:ascii="仿宋_GB2312" w:hAnsi="仿宋" w:eastAsia="仿宋_GB2312" w:cs="仿宋"/>
          <w:snapToGrid w:val="0"/>
          <w:sz w:val="20"/>
          <w:szCs w:val="20"/>
          <w:lang w:val="en-US" w:eastAsia="zh-CN"/>
        </w:rPr>
      </w:pPr>
    </w:p>
    <w:p>
      <w:pPr>
        <w:pStyle w:val="2"/>
        <w:rPr>
          <w:rFonts w:hint="eastAsia" w:ascii="仿宋_GB2312" w:hAnsi="仿宋" w:eastAsia="仿宋_GB2312" w:cs="仿宋"/>
          <w:snapToGrid w:val="0"/>
          <w:sz w:val="20"/>
          <w:szCs w:val="20"/>
          <w:lang w:val="en-US" w:eastAsia="zh-CN"/>
        </w:rPr>
      </w:pPr>
    </w:p>
    <w:p>
      <w:pPr>
        <w:pStyle w:val="3"/>
        <w:spacing w:line="360" w:lineRule="auto"/>
        <w:jc w:val="left"/>
        <w:rPr>
          <w:rFonts w:ascii="黑体" w:eastAsia="黑体"/>
          <w:snapToGrid w:val="0"/>
          <w:kern w:val="0"/>
          <w:sz w:val="30"/>
          <w:szCs w:val="30"/>
        </w:rPr>
      </w:pPr>
      <w:r>
        <w:rPr>
          <w:rFonts w:hint="eastAsia" w:ascii="黑体" w:eastAsia="黑体"/>
          <w:snapToGrid w:val="0"/>
          <w:kern w:val="0"/>
          <w:sz w:val="30"/>
          <w:szCs w:val="30"/>
        </w:rPr>
        <w:t>（十一）估价人员</w:t>
      </w:r>
      <w:bookmarkEnd w:id="42"/>
    </w:p>
    <w:p>
      <w:pPr>
        <w:adjustRightInd w:val="0"/>
        <w:snapToGrid w:val="0"/>
        <w:spacing w:line="360" w:lineRule="auto"/>
        <w:rPr>
          <w:b/>
          <w:snapToGrid w:val="0"/>
          <w:kern w:val="0"/>
          <w:sz w:val="28"/>
          <w:szCs w:val="28"/>
        </w:rPr>
      </w:pPr>
    </w:p>
    <w:p>
      <w:pPr>
        <w:adjustRightInd w:val="0"/>
        <w:snapToGrid w:val="0"/>
        <w:spacing w:line="600" w:lineRule="auto"/>
        <w:ind w:firstLine="491" w:firstLineChars="146"/>
        <w:rPr>
          <w:snapToGrid w:val="0"/>
          <w:kern w:val="0"/>
          <w:sz w:val="28"/>
          <w:szCs w:val="28"/>
        </w:rPr>
      </w:pPr>
      <w:r>
        <w:rPr>
          <w:rFonts w:hint="eastAsia"/>
          <w:b/>
          <w:snapToGrid w:val="0"/>
          <w:kern w:val="0"/>
          <w:sz w:val="28"/>
          <w:szCs w:val="28"/>
        </w:rPr>
        <w:t>注册房地产估价师：</w:t>
      </w:r>
      <w:r>
        <w:rPr>
          <w:rFonts w:hint="eastAsia"/>
          <w:b/>
          <w:snapToGrid w:val="0"/>
          <w:kern w:val="0"/>
          <w:sz w:val="28"/>
          <w:szCs w:val="28"/>
          <w:lang w:eastAsia="zh-CN"/>
        </w:rPr>
        <w:t>王晨阳</w:t>
      </w:r>
      <w:r>
        <w:rPr>
          <w:rFonts w:hint="eastAsia"/>
          <w:snapToGrid w:val="0"/>
          <w:kern w:val="0"/>
          <w:sz w:val="28"/>
          <w:szCs w:val="28"/>
        </w:rPr>
        <w:t xml:space="preserve">         签 名：</w:t>
      </w:r>
    </w:p>
    <w:p>
      <w:pPr>
        <w:adjustRightInd w:val="0"/>
        <w:snapToGrid w:val="0"/>
        <w:spacing w:line="600" w:lineRule="auto"/>
        <w:ind w:firstLine="491" w:firstLineChars="146"/>
        <w:rPr>
          <w:rFonts w:hint="eastAsia" w:ascii="Times New Roman" w:hAnsi="Times New Roman" w:cs="Times New Roman"/>
          <w:b/>
          <w:snapToGrid w:val="0"/>
          <w:kern w:val="0"/>
          <w:sz w:val="28"/>
          <w:szCs w:val="28"/>
          <w:lang w:eastAsia="zh-CN"/>
        </w:rPr>
      </w:pPr>
      <w:r>
        <w:rPr>
          <w:rFonts w:hint="eastAsia"/>
          <w:b/>
          <w:snapToGrid w:val="0"/>
          <w:kern w:val="0"/>
          <w:sz w:val="28"/>
          <w:szCs w:val="28"/>
        </w:rPr>
        <w:t>注册号：</w:t>
      </w:r>
      <w:r>
        <w:rPr>
          <w:rFonts w:hint="eastAsia"/>
          <w:b/>
          <w:snapToGrid w:val="0"/>
          <w:kern w:val="0"/>
          <w:sz w:val="28"/>
          <w:szCs w:val="28"/>
          <w:lang w:val="en-US" w:eastAsia="zh-CN"/>
        </w:rPr>
        <w:t>4419960028</w:t>
      </w:r>
      <w:r>
        <w:rPr>
          <w:rFonts w:hint="eastAsia"/>
          <w:b/>
          <w:snapToGrid w:val="0"/>
          <w:kern w:val="0"/>
          <w:sz w:val="28"/>
          <w:szCs w:val="28"/>
        </w:rPr>
        <w:t xml:space="preserve">                 </w:t>
      </w:r>
      <w:r>
        <w:rPr>
          <w:rFonts w:hint="eastAsia"/>
          <w:b/>
          <w:snapToGrid w:val="0"/>
          <w:kern w:val="0"/>
          <w:sz w:val="28"/>
          <w:szCs w:val="28"/>
          <w:lang w:val="en-US" w:eastAsia="zh-CN"/>
        </w:rPr>
        <w:t xml:space="preserve">   </w:t>
      </w:r>
      <w:r>
        <w:rPr>
          <w:rFonts w:hint="eastAsia" w:cs="Times New Roman"/>
          <w:b/>
          <w:snapToGrid w:val="0"/>
          <w:kern w:val="0"/>
          <w:sz w:val="28"/>
          <w:szCs w:val="28"/>
          <w:lang w:eastAsia="zh-CN"/>
        </w:rPr>
        <w:t>2024年3月29日</w:t>
      </w:r>
    </w:p>
    <w:p>
      <w:pPr>
        <w:adjustRightInd w:val="0"/>
        <w:snapToGrid w:val="0"/>
        <w:spacing w:line="360" w:lineRule="auto"/>
        <w:ind w:firstLine="491" w:firstLineChars="146"/>
        <w:rPr>
          <w:rFonts w:ascii="仿宋_GB2312" w:eastAsia="仿宋_GB2312"/>
          <w:b/>
          <w:snapToGrid w:val="0"/>
          <w:kern w:val="0"/>
          <w:sz w:val="28"/>
          <w:szCs w:val="28"/>
        </w:rPr>
      </w:pPr>
    </w:p>
    <w:p>
      <w:pPr>
        <w:adjustRightInd w:val="0"/>
        <w:snapToGrid w:val="0"/>
        <w:spacing w:line="600" w:lineRule="auto"/>
        <w:ind w:firstLine="491" w:firstLineChars="146"/>
        <w:rPr>
          <w:rFonts w:hint="eastAsia" w:ascii="Times New Roman" w:hAnsi="Times New Roman" w:cs="Times New Roman"/>
          <w:b/>
          <w:snapToGrid w:val="0"/>
          <w:kern w:val="0"/>
          <w:sz w:val="28"/>
          <w:szCs w:val="28"/>
        </w:rPr>
      </w:pPr>
      <w:r>
        <w:rPr>
          <w:rFonts w:hint="eastAsia" w:ascii="Times New Roman" w:hAnsi="Times New Roman" w:cs="Times New Roman"/>
          <w:b/>
          <w:snapToGrid w:val="0"/>
          <w:kern w:val="0"/>
          <w:sz w:val="28"/>
          <w:szCs w:val="28"/>
        </w:rPr>
        <w:t xml:space="preserve">注册房地产估价师：陶伟            </w:t>
      </w:r>
      <w:r>
        <w:rPr>
          <w:rFonts w:hint="eastAsia" w:ascii="Times New Roman" w:hAnsi="Times New Roman" w:cs="Times New Roman"/>
          <w:b w:val="0"/>
          <w:bCs/>
          <w:snapToGrid w:val="0"/>
          <w:kern w:val="0"/>
          <w:sz w:val="28"/>
          <w:szCs w:val="28"/>
        </w:rPr>
        <w:t>签 名：</w:t>
      </w:r>
    </w:p>
    <w:p>
      <w:pPr>
        <w:adjustRightInd w:val="0"/>
        <w:snapToGrid w:val="0"/>
        <w:spacing w:line="600" w:lineRule="auto"/>
        <w:ind w:firstLine="491" w:firstLineChars="146"/>
        <w:rPr>
          <w:rFonts w:hint="eastAsia" w:ascii="Times New Roman" w:hAnsi="Times New Roman" w:cs="Times New Roman"/>
          <w:b/>
          <w:snapToGrid w:val="0"/>
          <w:kern w:val="0"/>
          <w:sz w:val="28"/>
          <w:szCs w:val="28"/>
          <w:lang w:eastAsia="zh-CN"/>
        </w:rPr>
      </w:pPr>
      <w:r>
        <w:rPr>
          <w:rFonts w:hint="eastAsia" w:ascii="Times New Roman" w:hAnsi="Times New Roman" w:cs="Times New Roman"/>
          <w:b/>
          <w:snapToGrid w:val="0"/>
          <w:kern w:val="0"/>
          <w:sz w:val="28"/>
          <w:szCs w:val="28"/>
        </w:rPr>
        <w:t xml:space="preserve">注册号：3420020009                  </w:t>
      </w:r>
      <w:r>
        <w:rPr>
          <w:rFonts w:hint="eastAsia" w:ascii="Times New Roman" w:hAnsi="Times New Roman" w:cs="Times New Roman"/>
          <w:b/>
          <w:snapToGrid w:val="0"/>
          <w:kern w:val="0"/>
          <w:sz w:val="28"/>
          <w:szCs w:val="28"/>
          <w:lang w:eastAsia="zh-CN"/>
        </w:rPr>
        <w:t xml:space="preserve"> </w:t>
      </w:r>
      <w:r>
        <w:rPr>
          <w:rFonts w:hint="eastAsia" w:cs="Times New Roman"/>
          <w:b/>
          <w:snapToGrid w:val="0"/>
          <w:kern w:val="0"/>
          <w:sz w:val="28"/>
          <w:szCs w:val="28"/>
          <w:lang w:eastAsia="zh-CN"/>
        </w:rPr>
        <w:t>2024年3月29日</w:t>
      </w:r>
    </w:p>
    <w:p>
      <w:pPr>
        <w:pStyle w:val="3"/>
        <w:spacing w:line="360" w:lineRule="auto"/>
        <w:jc w:val="left"/>
        <w:rPr>
          <w:rFonts w:ascii="黑体" w:eastAsia="黑体"/>
          <w:snapToGrid w:val="0"/>
          <w:kern w:val="0"/>
          <w:sz w:val="30"/>
          <w:szCs w:val="30"/>
        </w:rPr>
      </w:pPr>
      <w:bookmarkStart w:id="43" w:name="_Toc23237"/>
      <w:r>
        <w:rPr>
          <w:rFonts w:hint="eastAsia" w:ascii="黑体" w:eastAsia="黑体"/>
          <w:snapToGrid w:val="0"/>
          <w:kern w:val="0"/>
          <w:sz w:val="30"/>
          <w:szCs w:val="30"/>
        </w:rPr>
        <w:t>（十二）实地查勘期</w:t>
      </w:r>
      <w:bookmarkEnd w:id="43"/>
    </w:p>
    <w:p>
      <w:pPr>
        <w:adjustRightInd w:val="0"/>
        <w:snapToGrid w:val="0"/>
        <w:spacing w:line="360" w:lineRule="auto"/>
        <w:ind w:firstLine="505"/>
        <w:rPr>
          <w:rFonts w:hint="eastAsia" w:ascii="仿宋_GB2312" w:hAnsi="仿宋_GB2312" w:eastAsia="仿宋_GB2312" w:cs="仿宋_GB2312"/>
          <w:snapToGrid w:val="0"/>
          <w:kern w:val="0"/>
          <w:sz w:val="28"/>
          <w:szCs w:val="28"/>
          <w:lang w:eastAsia="zh-CN"/>
        </w:rPr>
      </w:pPr>
      <w:r>
        <w:rPr>
          <w:rFonts w:hint="eastAsia" w:ascii="仿宋_GB2312" w:hAnsi="仿宋_GB2312" w:eastAsia="仿宋_GB2312" w:cs="仿宋_GB2312"/>
          <w:snapToGrid w:val="0"/>
          <w:kern w:val="0"/>
          <w:sz w:val="28"/>
          <w:szCs w:val="28"/>
          <w:lang w:eastAsia="zh-CN"/>
        </w:rPr>
        <w:t>二〇二四年二月一日</w:t>
      </w:r>
    </w:p>
    <w:p>
      <w:pPr>
        <w:pStyle w:val="3"/>
        <w:spacing w:line="360" w:lineRule="auto"/>
        <w:jc w:val="left"/>
        <w:rPr>
          <w:rFonts w:ascii="黑体" w:eastAsia="黑体"/>
          <w:snapToGrid w:val="0"/>
          <w:kern w:val="0"/>
          <w:sz w:val="30"/>
          <w:szCs w:val="30"/>
        </w:rPr>
      </w:pPr>
      <w:bookmarkStart w:id="44" w:name="_Toc1348"/>
      <w:r>
        <w:rPr>
          <w:rFonts w:hint="eastAsia" w:ascii="黑体" w:eastAsia="黑体"/>
          <w:snapToGrid w:val="0"/>
          <w:kern w:val="0"/>
          <w:sz w:val="30"/>
          <w:szCs w:val="30"/>
        </w:rPr>
        <w:t>（十三）估价作业日期</w:t>
      </w:r>
      <w:bookmarkEnd w:id="44"/>
    </w:p>
    <w:p>
      <w:pPr>
        <w:adjustRightInd w:val="0"/>
        <w:snapToGrid w:val="0"/>
        <w:spacing w:line="360" w:lineRule="auto"/>
        <w:ind w:firstLine="505"/>
        <w:rPr>
          <w:rFonts w:hint="eastAsia" w:ascii="仿宋_GB2312" w:eastAsia="仿宋_GB2312"/>
          <w:snapToGrid w:val="0"/>
          <w:kern w:val="0"/>
          <w:sz w:val="28"/>
          <w:szCs w:val="28"/>
          <w:lang w:eastAsia="zh-CN"/>
        </w:rPr>
      </w:pPr>
      <w:r>
        <w:rPr>
          <w:rFonts w:hint="eastAsia" w:ascii="仿宋_GB2312" w:eastAsia="仿宋_GB2312"/>
          <w:snapToGrid w:val="0"/>
          <w:kern w:val="0"/>
          <w:sz w:val="28"/>
          <w:szCs w:val="28"/>
          <w:lang w:eastAsia="zh-CN"/>
        </w:rPr>
        <w:t>二〇二四年二月一日</w:t>
      </w:r>
      <w:r>
        <w:rPr>
          <w:rFonts w:hint="eastAsia" w:ascii="仿宋_GB2312" w:eastAsia="仿宋_GB2312"/>
          <w:snapToGrid w:val="0"/>
          <w:kern w:val="0"/>
          <w:sz w:val="28"/>
          <w:szCs w:val="28"/>
        </w:rPr>
        <w:t>至</w:t>
      </w:r>
      <w:r>
        <w:rPr>
          <w:rFonts w:hint="eastAsia" w:ascii="仿宋_GB2312" w:eastAsia="仿宋_GB2312"/>
          <w:snapToGrid w:val="0"/>
          <w:kern w:val="0"/>
          <w:sz w:val="28"/>
          <w:szCs w:val="28"/>
          <w:lang w:eastAsia="zh-CN"/>
        </w:rPr>
        <w:t>二〇二四年三月二十九日</w:t>
      </w:r>
    </w:p>
    <w:p>
      <w:pPr>
        <w:pStyle w:val="3"/>
        <w:spacing w:line="360" w:lineRule="auto"/>
        <w:jc w:val="left"/>
        <w:rPr>
          <w:rFonts w:ascii="黑体" w:eastAsia="黑体"/>
          <w:snapToGrid w:val="0"/>
          <w:kern w:val="0"/>
          <w:sz w:val="30"/>
          <w:szCs w:val="30"/>
        </w:rPr>
      </w:pPr>
      <w:bookmarkStart w:id="45" w:name="_Toc2324"/>
      <w:r>
        <w:rPr>
          <w:rFonts w:hint="eastAsia" w:ascii="黑体" w:eastAsia="黑体"/>
          <w:snapToGrid w:val="0"/>
          <w:kern w:val="0"/>
          <w:sz w:val="30"/>
          <w:szCs w:val="30"/>
        </w:rPr>
        <w:t>（十四）估价报告应用的有效期</w:t>
      </w:r>
      <w:bookmarkEnd w:id="45"/>
    </w:p>
    <w:p>
      <w:pPr>
        <w:adjustRightInd w:val="0"/>
        <w:snapToGrid w:val="0"/>
        <w:spacing w:line="360" w:lineRule="auto"/>
        <w:ind w:firstLine="505"/>
      </w:pPr>
      <w:r>
        <w:rPr>
          <w:rFonts w:hint="eastAsia" w:ascii="仿宋_GB2312" w:eastAsia="仿宋_GB2312"/>
          <w:snapToGrid w:val="0"/>
          <w:kern w:val="0"/>
          <w:sz w:val="28"/>
          <w:szCs w:val="28"/>
        </w:rPr>
        <w:t>本报告应用有效期为出具报告之日起一年，自</w:t>
      </w:r>
      <w:r>
        <w:rPr>
          <w:rFonts w:hint="eastAsia" w:ascii="仿宋_GB2312" w:eastAsia="仿宋_GB2312"/>
          <w:snapToGrid w:val="0"/>
          <w:kern w:val="0"/>
          <w:sz w:val="28"/>
          <w:szCs w:val="28"/>
          <w:lang w:eastAsia="zh-CN"/>
        </w:rPr>
        <w:t>二〇二四年三月二十九日</w:t>
      </w:r>
      <w:r>
        <w:rPr>
          <w:rFonts w:hint="eastAsia" w:ascii="仿宋_GB2312" w:eastAsia="仿宋_GB2312"/>
          <w:snapToGrid w:val="0"/>
          <w:kern w:val="0"/>
          <w:sz w:val="28"/>
          <w:szCs w:val="28"/>
        </w:rPr>
        <w:t>至</w:t>
      </w:r>
      <w:r>
        <w:rPr>
          <w:rFonts w:hint="eastAsia" w:ascii="仿宋_GB2312" w:eastAsia="仿宋_GB2312"/>
          <w:snapToGrid w:val="0"/>
          <w:kern w:val="0"/>
          <w:sz w:val="28"/>
          <w:szCs w:val="28"/>
          <w:lang w:eastAsia="zh-CN"/>
        </w:rPr>
        <w:t>二〇二五年三月二十八日</w:t>
      </w:r>
      <w:r>
        <w:rPr>
          <w:rFonts w:hint="eastAsia" w:ascii="仿宋_GB2312" w:eastAsia="仿宋_GB2312"/>
          <w:snapToGrid w:val="0"/>
          <w:kern w:val="0"/>
          <w:sz w:val="28"/>
          <w:szCs w:val="28"/>
        </w:rPr>
        <w:t>止，若市场有较大波动或超过一年，需重新进行评估。</w:t>
      </w:r>
      <w:bookmarkStart w:id="46" w:name="_Toc404947558"/>
      <w:bookmarkEnd w:id="46"/>
    </w:p>
    <w:p>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eastAsia="黑体"/>
          <w:snapToGrid w:val="0"/>
          <w:kern w:val="0"/>
          <w:sz w:val="44"/>
          <w:szCs w:val="44"/>
        </w:rPr>
      </w:pPr>
      <w:bookmarkStart w:id="47" w:name="_Toc13222"/>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eastAsia="黑体"/>
          <w:snapToGrid w:val="0"/>
          <w:kern w:val="0"/>
          <w:sz w:val="44"/>
          <w:szCs w:val="44"/>
        </w:rPr>
      </w:pPr>
    </w:p>
    <w:bookmarkEnd w:id="47"/>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bookmarkStart w:id="48" w:name="_Toc240707877"/>
      <w:bookmarkStart w:id="49" w:name="_Toc294691116"/>
      <w:r>
        <w:rPr>
          <w:rFonts w:hint="eastAsia" w:ascii="仿宋_GB2312" w:hAnsi="宋体" w:eastAsia="仿宋_GB2312" w:cs="Times New Roman"/>
          <w:snapToGrid w:val="0"/>
          <w:color w:val="auto"/>
          <w:kern w:val="0"/>
          <w:sz w:val="28"/>
          <w:szCs w:val="28"/>
          <w:lang w:val="en-US" w:eastAsia="zh-CN"/>
        </w:rPr>
        <w:t>口岸的距离等情况，分为便捷、较便捷、不便捷三个等级，以估价对象为100，每上升或下降一个等级，指数向上或向下修正2。</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外部配套完善程度：包括基础设施和公共服务设施，分为完善、一般、不完善三个等级，以估价对象为100，每上升或下降一个等级，指数向上或向下修正2。</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周围环境：根据项目位置所在区域的自然资源、空气质量、噪声、污染情况，分为优、一般、劣三个等级，以估价对象为100，每上升或下降一个等级，指数向上或向下修正2。</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产业集聚程度：根据估价对象所在区域的工业成熟情况，分为较高、一般、较低三个等级，以估价对象为100，每上升或下降一个等级，指数向上或向下修正4。</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交通通达程度：根据估价对象所处地段，分为好、较好、一般三个等级，以估价对象为100，每增加或减少一个级别，指数向上或向下修正2。</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④权益状况调整系数的确定</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规划条件：根据估价对象的规划条件，分为有特殊规划限制、无特殊规划限制两个等级，以估价对象为100，每上升或下降一个等级，指数向上或向下修正2。</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权益状况：根据估价对象的土地使用权及房屋所有权的权益状况，分为完整、不完整两个等级，以估价对象为100，上升或下降一个等级，指数向上或向下修正5。</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是否设定他项权利：根据估价对象的他项权利状况，分为设定有他项权利和未设定他项权利两个等级，以估价对象为100，上升或下降一个等级，指数向上或向下修正2。</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⑤实物状况调整系数的确定</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使用现状：按使用中、空置中分为二个等级，以估价对象为100，每上升或下降一个等级，指数向上或向下修正2。</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规模大小：按适中、大、较大、小、较小分为五个等级，以估价对象为100，根据估价对象的规模，每上升或下降一个等级，指数向上或向下修正1。</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层高：根据实际情况，以估价对象为100，层高分为3米、3.5米、4米、4.5米、5米、5.5米六个等级，每上升或下降一个等级，指数向上或向下修正1。</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建筑结构：分为钢筋混凝土结构、钢结构、砖混结构，砖木结构等四个等级，以估价对象为100，每上升或下降一个等级，指数向上或向下修正2。</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基础设备设施：分为好、较好、一般三个等级，以估价对象为100，每增加或减少一个级别，指数向上或向下修正2。</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专业设备设施：分为好、较好、一般三个等级，以估价对象为100，每增加或减少一个级别，指数向上或向下修正2。</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建筑外观与公共装修：分为好、较好、一般三个等级，以估价对象为100，每增加或减少一个级别，指数向上或向下修正2.</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完损程度：分完好房、基本完好房、一般损坏房、严重损坏房四个档次，以估价对象为100，每上升或下降一个等级，指数向上或向下修正2。</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将可比实例相应因素条件与估价对象相比较，确定相应指数，详见下表《区域因素及个别因素条件指数表》。</w:t>
      </w:r>
    </w:p>
    <w:p>
      <w:pPr>
        <w:spacing w:line="600" w:lineRule="exact"/>
        <w:ind w:firstLine="594" w:firstLineChars="200"/>
        <w:contextualSpacing/>
        <w:jc w:val="center"/>
        <w:rPr>
          <w:rFonts w:hint="eastAsia" w:ascii="宋体" w:hAnsi="宋体" w:eastAsia="宋体" w:cs="宋体"/>
          <w:b/>
          <w:bCs/>
          <w:kern w:val="0"/>
          <w:sz w:val="24"/>
        </w:rPr>
      </w:pPr>
      <w:r>
        <w:rPr>
          <w:rFonts w:hint="eastAsia" w:ascii="宋体" w:hAnsi="宋体" w:eastAsia="宋体" w:cs="宋体"/>
          <w:b/>
          <w:bCs/>
          <w:kern w:val="0"/>
          <w:sz w:val="24"/>
        </w:rPr>
        <w:t>区域因素及个别因素条件指数表</w:t>
      </w:r>
    </w:p>
    <w:tbl>
      <w:tblPr>
        <w:tblStyle w:val="45"/>
        <w:tblW w:w="4997" w:type="pct"/>
        <w:tblInd w:w="0" w:type="dxa"/>
        <w:tblLayout w:type="autofit"/>
        <w:tblCellMar>
          <w:top w:w="0" w:type="dxa"/>
          <w:left w:w="108" w:type="dxa"/>
          <w:bottom w:w="0" w:type="dxa"/>
          <w:right w:w="108" w:type="dxa"/>
        </w:tblCellMar>
      </w:tblPr>
      <w:tblGrid>
        <w:gridCol w:w="2317"/>
        <w:gridCol w:w="1670"/>
        <w:gridCol w:w="1965"/>
        <w:gridCol w:w="2054"/>
        <w:gridCol w:w="1951"/>
      </w:tblGrid>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区位状况因素</w:t>
            </w:r>
          </w:p>
        </w:tc>
        <w:tc>
          <w:tcPr>
            <w:tcW w:w="83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估价对象</w:t>
            </w:r>
          </w:p>
        </w:tc>
        <w:tc>
          <w:tcPr>
            <w:tcW w:w="98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可比实例A</w:t>
            </w:r>
          </w:p>
        </w:tc>
        <w:tc>
          <w:tcPr>
            <w:tcW w:w="103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可比实例B</w:t>
            </w:r>
          </w:p>
        </w:tc>
        <w:tc>
          <w:tcPr>
            <w:tcW w:w="97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可比实例C</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交通情况</w:t>
            </w:r>
          </w:p>
        </w:tc>
        <w:tc>
          <w:tcPr>
            <w:tcW w:w="14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100</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外部配套</w:t>
            </w:r>
          </w:p>
        </w:tc>
        <w:tc>
          <w:tcPr>
            <w:tcW w:w="14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100</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周围环境</w:t>
            </w:r>
          </w:p>
        </w:tc>
        <w:tc>
          <w:tcPr>
            <w:tcW w:w="14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100</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产业集聚程度</w:t>
            </w:r>
          </w:p>
        </w:tc>
        <w:tc>
          <w:tcPr>
            <w:tcW w:w="14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100</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FF0000"/>
                <w:kern w:val="0"/>
                <w:sz w:val="20"/>
                <w:szCs w:val="20"/>
                <w:u w:val="none"/>
                <w:lang w:val="en-US" w:eastAsia="zh-CN" w:bidi="ar"/>
              </w:rPr>
              <w:t>104</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FF0000"/>
                <w:kern w:val="0"/>
                <w:sz w:val="20"/>
                <w:szCs w:val="20"/>
                <w:u w:val="none"/>
                <w:lang w:val="en-US" w:eastAsia="zh-CN" w:bidi="ar"/>
              </w:rPr>
              <w:t>104</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FF0000"/>
                <w:kern w:val="0"/>
                <w:sz w:val="20"/>
                <w:szCs w:val="20"/>
                <w:u w:val="none"/>
                <w:lang w:val="en-US" w:eastAsia="zh-CN" w:bidi="ar"/>
              </w:rPr>
              <w:t>104</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交通通达程度</w:t>
            </w:r>
          </w:p>
        </w:tc>
        <w:tc>
          <w:tcPr>
            <w:tcW w:w="14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100</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权益状况比较因素</w:t>
            </w:r>
          </w:p>
        </w:tc>
        <w:tc>
          <w:tcPr>
            <w:tcW w:w="83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估价对象</w:t>
            </w:r>
          </w:p>
        </w:tc>
        <w:tc>
          <w:tcPr>
            <w:tcW w:w="98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可比实例A</w:t>
            </w:r>
          </w:p>
        </w:tc>
        <w:tc>
          <w:tcPr>
            <w:tcW w:w="103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可比实例B</w:t>
            </w:r>
          </w:p>
        </w:tc>
        <w:tc>
          <w:tcPr>
            <w:tcW w:w="97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可比实例C</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规划条件</w:t>
            </w:r>
          </w:p>
        </w:tc>
        <w:tc>
          <w:tcPr>
            <w:tcW w:w="14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100</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100</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100</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权益状况</w:t>
            </w:r>
          </w:p>
        </w:tc>
        <w:tc>
          <w:tcPr>
            <w:tcW w:w="14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100</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_GB2312" w:hAnsi="宋体" w:eastAsia="仿宋_GB2312" w:cs="仿宋_GB2312"/>
                <w:color w:val="FF0000"/>
                <w:sz w:val="20"/>
                <w:szCs w:val="20"/>
                <w:lang w:val="en-US" w:eastAsia="zh-CN"/>
              </w:rPr>
            </w:pPr>
            <w:r>
              <w:rPr>
                <w:rFonts w:hint="eastAsia" w:ascii="仿宋_GB2312" w:hAnsi="宋体" w:eastAsia="仿宋_GB2312" w:cs="仿宋_GB2312"/>
                <w:color w:val="FF0000"/>
                <w:kern w:val="0"/>
                <w:sz w:val="20"/>
                <w:szCs w:val="20"/>
                <w:lang w:val="en-US" w:eastAsia="zh-CN" w:bidi="ar"/>
              </w:rPr>
              <w:t>105</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FF0000"/>
                <w:sz w:val="20"/>
                <w:szCs w:val="20"/>
              </w:rPr>
            </w:pPr>
            <w:r>
              <w:rPr>
                <w:rFonts w:hint="eastAsia" w:ascii="仿宋_GB2312" w:hAnsi="宋体" w:eastAsia="仿宋_GB2312" w:cs="仿宋_GB2312"/>
                <w:color w:val="FF0000"/>
                <w:kern w:val="0"/>
                <w:sz w:val="20"/>
                <w:szCs w:val="20"/>
                <w:lang w:val="en-US" w:eastAsia="zh-CN" w:bidi="ar"/>
              </w:rPr>
              <w:t>105</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FF0000"/>
                <w:sz w:val="20"/>
                <w:szCs w:val="20"/>
              </w:rPr>
            </w:pPr>
            <w:r>
              <w:rPr>
                <w:rFonts w:hint="eastAsia" w:ascii="仿宋_GB2312" w:hAnsi="宋体" w:eastAsia="仿宋_GB2312" w:cs="仿宋_GB2312"/>
                <w:color w:val="FF0000"/>
                <w:kern w:val="0"/>
                <w:sz w:val="20"/>
                <w:szCs w:val="20"/>
                <w:lang w:val="en-US" w:eastAsia="zh-CN" w:bidi="ar"/>
              </w:rPr>
              <w:t>105</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是否设立他项权利</w:t>
            </w:r>
          </w:p>
        </w:tc>
        <w:tc>
          <w:tcPr>
            <w:tcW w:w="14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100</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100</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100</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实物状况比较因素</w:t>
            </w:r>
          </w:p>
        </w:tc>
        <w:tc>
          <w:tcPr>
            <w:tcW w:w="83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估价对象</w:t>
            </w:r>
          </w:p>
        </w:tc>
        <w:tc>
          <w:tcPr>
            <w:tcW w:w="98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可比实例A</w:t>
            </w:r>
          </w:p>
        </w:tc>
        <w:tc>
          <w:tcPr>
            <w:tcW w:w="103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可比实例B</w:t>
            </w:r>
          </w:p>
        </w:tc>
        <w:tc>
          <w:tcPr>
            <w:tcW w:w="97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可比实例C</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使用现状</w:t>
            </w:r>
          </w:p>
        </w:tc>
        <w:tc>
          <w:tcPr>
            <w:tcW w:w="1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建筑面积（㎡）</w:t>
            </w:r>
          </w:p>
        </w:tc>
        <w:tc>
          <w:tcPr>
            <w:tcW w:w="1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FF0000"/>
                <w:kern w:val="0"/>
                <w:sz w:val="20"/>
                <w:szCs w:val="20"/>
                <w:u w:val="none"/>
                <w:lang w:val="en-US" w:eastAsia="zh-CN" w:bidi="ar"/>
              </w:rPr>
              <w:t>99</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FF0000"/>
                <w:kern w:val="0"/>
                <w:sz w:val="20"/>
                <w:szCs w:val="20"/>
                <w:u w:val="none"/>
                <w:lang w:val="en-US" w:eastAsia="zh-CN" w:bidi="ar"/>
              </w:rPr>
              <w:t>98</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层高</w:t>
            </w:r>
          </w:p>
        </w:tc>
        <w:tc>
          <w:tcPr>
            <w:tcW w:w="1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建筑结构</w:t>
            </w:r>
          </w:p>
        </w:tc>
        <w:tc>
          <w:tcPr>
            <w:tcW w:w="1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基础设施设备</w:t>
            </w:r>
          </w:p>
        </w:tc>
        <w:tc>
          <w:tcPr>
            <w:tcW w:w="1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专业设施设备</w:t>
            </w:r>
          </w:p>
        </w:tc>
        <w:tc>
          <w:tcPr>
            <w:tcW w:w="1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建筑外观与公共装修</w:t>
            </w:r>
          </w:p>
        </w:tc>
        <w:tc>
          <w:tcPr>
            <w:tcW w:w="1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r>
      <w:tr>
        <w:tblPrEx>
          <w:tblCellMar>
            <w:top w:w="0" w:type="dxa"/>
            <w:left w:w="108" w:type="dxa"/>
            <w:bottom w:w="0" w:type="dxa"/>
            <w:right w:w="108" w:type="dxa"/>
          </w:tblCellMar>
        </w:tblPrEx>
        <w:trPr>
          <w:trHeight w:val="283" w:hRule="atLeast"/>
        </w:trPr>
        <w:tc>
          <w:tcPr>
            <w:tcW w:w="116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完损程度</w:t>
            </w:r>
          </w:p>
        </w:tc>
        <w:tc>
          <w:tcPr>
            <w:tcW w:w="1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7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_GB2312" w:hAnsi="宋体" w:eastAsia="仿宋_GB2312" w:cs="仿宋_GB2312"/>
                <w:color w:val="000000"/>
                <w:kern w:val="0"/>
                <w:sz w:val="20"/>
                <w:szCs w:val="20"/>
                <w:lang w:bidi="ar"/>
              </w:rPr>
            </w:pPr>
            <w:r>
              <w:rPr>
                <w:rFonts w:hint="default" w:ascii="仿宋_GB2312" w:hAnsi="宋体" w:eastAsia="仿宋_GB2312" w:cs="仿宋_GB2312"/>
                <w:i w:val="0"/>
                <w:iCs w:val="0"/>
                <w:color w:val="000000"/>
                <w:kern w:val="0"/>
                <w:sz w:val="20"/>
                <w:szCs w:val="20"/>
                <w:u w:val="none"/>
                <w:lang w:val="en-US" w:eastAsia="zh-CN" w:bidi="ar"/>
              </w:rPr>
              <w:t>100</w:t>
            </w:r>
          </w:p>
        </w:tc>
      </w:tr>
    </w:tbl>
    <w:p>
      <w:pPr>
        <w:snapToGrid w:val="0"/>
        <w:spacing w:line="300" w:lineRule="exact"/>
        <w:jc w:val="center"/>
        <w:rPr>
          <w:rFonts w:ascii="仿宋_GB2312" w:hAnsi="楷体" w:eastAsia="仿宋_GB2312"/>
          <w:snapToGrid w:val="0"/>
          <w:kern w:val="0"/>
          <w:sz w:val="28"/>
          <w:szCs w:val="28"/>
        </w:rPr>
      </w:pP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⑥编制比较因素调整系数表</w:t>
      </w:r>
    </w:p>
    <w:p>
      <w:pPr>
        <w:spacing w:line="600" w:lineRule="exact"/>
        <w:ind w:firstLine="594" w:firstLineChars="200"/>
        <w:contextualSpacing/>
        <w:jc w:val="center"/>
        <w:rPr>
          <w:rFonts w:hint="eastAsia" w:ascii="宋体" w:hAnsi="宋体" w:eastAsia="宋体" w:cs="宋体"/>
          <w:b/>
          <w:bCs/>
          <w:kern w:val="0"/>
          <w:sz w:val="24"/>
        </w:rPr>
      </w:pPr>
      <w:r>
        <w:rPr>
          <w:rFonts w:hint="eastAsia" w:ascii="宋体" w:hAnsi="宋体" w:eastAsia="宋体" w:cs="宋体"/>
          <w:b/>
          <w:bCs/>
          <w:kern w:val="0"/>
          <w:sz w:val="24"/>
        </w:rPr>
        <w:t>比较因素调整系数表</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3"/>
        <w:gridCol w:w="2495"/>
        <w:gridCol w:w="2648"/>
        <w:gridCol w:w="2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比较项目</w:t>
            </w:r>
          </w:p>
        </w:tc>
        <w:tc>
          <w:tcPr>
            <w:tcW w:w="1252"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可比实例A</w:t>
            </w:r>
          </w:p>
        </w:tc>
        <w:tc>
          <w:tcPr>
            <w:tcW w:w="1329"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可比实例B</w:t>
            </w:r>
          </w:p>
        </w:tc>
        <w:tc>
          <w:tcPr>
            <w:tcW w:w="1191"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正常成交单价</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2,100</w:t>
            </w:r>
          </w:p>
        </w:tc>
        <w:tc>
          <w:tcPr>
            <w:tcW w:w="2348" w:type="dxa"/>
            <w:noWrap/>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2,200</w:t>
            </w:r>
          </w:p>
        </w:tc>
        <w:tc>
          <w:tcPr>
            <w:tcW w:w="2104" w:type="dxa"/>
            <w:noWrap/>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交易情况</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市场状况</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区位状况因素</w:t>
            </w:r>
          </w:p>
        </w:tc>
        <w:tc>
          <w:tcPr>
            <w:tcW w:w="1252"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可比实例A</w:t>
            </w:r>
          </w:p>
        </w:tc>
        <w:tc>
          <w:tcPr>
            <w:tcW w:w="1329"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可比实例B</w:t>
            </w:r>
          </w:p>
        </w:tc>
        <w:tc>
          <w:tcPr>
            <w:tcW w:w="1191"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交通情况</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外部配套</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周围环境</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产业集聚程度</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FF0000"/>
                <w:sz w:val="20"/>
                <w:szCs w:val="20"/>
              </w:rPr>
            </w:pPr>
            <w:r>
              <w:rPr>
                <w:rFonts w:hint="default" w:ascii="仿宋_GB2312" w:hAnsi="宋体" w:eastAsia="仿宋_GB2312" w:cs="仿宋_GB2312"/>
                <w:i w:val="0"/>
                <w:iCs w:val="0"/>
                <w:color w:val="FF0000"/>
                <w:kern w:val="0"/>
                <w:sz w:val="20"/>
                <w:szCs w:val="20"/>
                <w:u w:val="none"/>
                <w:lang w:val="en-US" w:eastAsia="zh-CN" w:bidi="ar"/>
              </w:rPr>
              <w:t>100/104</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FF0000"/>
                <w:sz w:val="20"/>
                <w:szCs w:val="20"/>
              </w:rPr>
            </w:pPr>
            <w:r>
              <w:rPr>
                <w:rFonts w:hint="default" w:ascii="仿宋_GB2312" w:hAnsi="宋体" w:eastAsia="仿宋_GB2312" w:cs="仿宋_GB2312"/>
                <w:i w:val="0"/>
                <w:iCs w:val="0"/>
                <w:color w:val="FF0000"/>
                <w:kern w:val="0"/>
                <w:sz w:val="20"/>
                <w:szCs w:val="20"/>
                <w:u w:val="none"/>
                <w:lang w:val="en-US" w:eastAsia="zh-CN" w:bidi="ar"/>
              </w:rPr>
              <w:t>100/104</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FF0000"/>
                <w:sz w:val="20"/>
                <w:szCs w:val="20"/>
              </w:rPr>
            </w:pPr>
            <w:r>
              <w:rPr>
                <w:rFonts w:hint="default" w:ascii="仿宋_GB2312" w:hAnsi="宋体" w:eastAsia="仿宋_GB2312" w:cs="仿宋_GB2312"/>
                <w:i w:val="0"/>
                <w:iCs w:val="0"/>
                <w:color w:val="FF0000"/>
                <w:kern w:val="0"/>
                <w:sz w:val="20"/>
                <w:szCs w:val="20"/>
                <w:u w:val="none"/>
                <w:lang w:val="en-US" w:eastAsia="zh-CN" w:bidi="ar"/>
              </w:rPr>
              <w:t>100/104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交通通达程度</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权益状况比较因素</w:t>
            </w:r>
          </w:p>
        </w:tc>
        <w:tc>
          <w:tcPr>
            <w:tcW w:w="1252"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可比实例A</w:t>
            </w:r>
          </w:p>
        </w:tc>
        <w:tc>
          <w:tcPr>
            <w:tcW w:w="1329"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可比实例B</w:t>
            </w:r>
          </w:p>
        </w:tc>
        <w:tc>
          <w:tcPr>
            <w:tcW w:w="1191"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规划条件</w:t>
            </w:r>
          </w:p>
        </w:tc>
        <w:tc>
          <w:tcPr>
            <w:tcW w:w="2495"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6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373"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权益状况</w:t>
            </w:r>
          </w:p>
        </w:tc>
        <w:tc>
          <w:tcPr>
            <w:tcW w:w="2495" w:type="dxa"/>
            <w:noWrap w:val="0"/>
            <w:vAlign w:val="center"/>
          </w:tcPr>
          <w:p>
            <w:pPr>
              <w:keepNext w:val="0"/>
              <w:keepLines w:val="0"/>
              <w:widowControl/>
              <w:suppressLineNumbers w:val="0"/>
              <w:jc w:val="center"/>
              <w:textAlignment w:val="center"/>
              <w:rPr>
                <w:rFonts w:ascii="仿宋_GB2312" w:hAnsi="宋体" w:eastAsia="仿宋_GB2312" w:cs="仿宋_GB2312"/>
                <w:color w:val="FF0000"/>
                <w:sz w:val="20"/>
                <w:szCs w:val="20"/>
              </w:rPr>
            </w:pPr>
            <w:r>
              <w:rPr>
                <w:rFonts w:hint="default" w:ascii="仿宋_GB2312" w:hAnsi="宋体" w:eastAsia="仿宋_GB2312" w:cs="仿宋_GB2312"/>
                <w:i w:val="0"/>
                <w:iCs w:val="0"/>
                <w:color w:val="FF0000"/>
                <w:kern w:val="0"/>
                <w:sz w:val="20"/>
                <w:szCs w:val="20"/>
                <w:u w:val="none"/>
                <w:lang w:val="en-US" w:eastAsia="zh-CN" w:bidi="ar"/>
              </w:rPr>
              <w:t>100/105</w:t>
            </w:r>
          </w:p>
        </w:tc>
        <w:tc>
          <w:tcPr>
            <w:tcW w:w="2648" w:type="dxa"/>
            <w:noWrap w:val="0"/>
            <w:vAlign w:val="center"/>
          </w:tcPr>
          <w:p>
            <w:pPr>
              <w:keepNext w:val="0"/>
              <w:keepLines w:val="0"/>
              <w:widowControl/>
              <w:suppressLineNumbers w:val="0"/>
              <w:jc w:val="center"/>
              <w:textAlignment w:val="center"/>
              <w:rPr>
                <w:rFonts w:ascii="仿宋_GB2312" w:hAnsi="宋体" w:eastAsia="仿宋_GB2312" w:cs="仿宋_GB2312"/>
                <w:color w:val="FF0000"/>
                <w:sz w:val="20"/>
                <w:szCs w:val="20"/>
              </w:rPr>
            </w:pPr>
            <w:r>
              <w:rPr>
                <w:rFonts w:hint="default" w:ascii="仿宋_GB2312" w:hAnsi="宋体" w:eastAsia="仿宋_GB2312" w:cs="仿宋_GB2312"/>
                <w:i w:val="0"/>
                <w:iCs w:val="0"/>
                <w:color w:val="FF0000"/>
                <w:kern w:val="0"/>
                <w:sz w:val="20"/>
                <w:szCs w:val="20"/>
                <w:u w:val="none"/>
                <w:lang w:val="en-US" w:eastAsia="zh-CN" w:bidi="ar"/>
              </w:rPr>
              <w:t>100/105</w:t>
            </w:r>
          </w:p>
        </w:tc>
        <w:tc>
          <w:tcPr>
            <w:tcW w:w="2373" w:type="dxa"/>
            <w:noWrap w:val="0"/>
            <w:vAlign w:val="center"/>
          </w:tcPr>
          <w:p>
            <w:pPr>
              <w:keepNext w:val="0"/>
              <w:keepLines w:val="0"/>
              <w:widowControl/>
              <w:suppressLineNumbers w:val="0"/>
              <w:jc w:val="center"/>
              <w:textAlignment w:val="center"/>
              <w:rPr>
                <w:rFonts w:ascii="仿宋_GB2312" w:hAnsi="宋体" w:eastAsia="仿宋_GB2312" w:cs="仿宋_GB2312"/>
                <w:color w:val="FF0000"/>
                <w:sz w:val="20"/>
                <w:szCs w:val="20"/>
              </w:rPr>
            </w:pPr>
            <w:r>
              <w:rPr>
                <w:rFonts w:hint="default" w:ascii="仿宋_GB2312" w:hAnsi="宋体" w:eastAsia="仿宋_GB2312" w:cs="仿宋_GB2312"/>
                <w:i w:val="0"/>
                <w:iCs w:val="0"/>
                <w:color w:val="FF0000"/>
                <w:kern w:val="0"/>
                <w:sz w:val="20"/>
                <w:szCs w:val="20"/>
                <w:u w:val="none"/>
                <w:lang w:val="en-US" w:eastAsia="zh-CN" w:bidi="ar"/>
              </w:rP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是否设立他项权利</w:t>
            </w:r>
          </w:p>
        </w:tc>
        <w:tc>
          <w:tcPr>
            <w:tcW w:w="2495"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6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373"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实物状况比较因素</w:t>
            </w:r>
          </w:p>
        </w:tc>
        <w:tc>
          <w:tcPr>
            <w:tcW w:w="1252"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可比实例A</w:t>
            </w:r>
          </w:p>
        </w:tc>
        <w:tc>
          <w:tcPr>
            <w:tcW w:w="1329"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可比实例B</w:t>
            </w:r>
          </w:p>
        </w:tc>
        <w:tc>
          <w:tcPr>
            <w:tcW w:w="1191"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可比实例C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使用现状</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建筑面积（㎡）</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FF0000"/>
                <w:sz w:val="20"/>
                <w:szCs w:val="20"/>
              </w:rPr>
            </w:pPr>
            <w:r>
              <w:rPr>
                <w:rFonts w:hint="default" w:ascii="仿宋_GB2312" w:hAnsi="宋体" w:eastAsia="仿宋_GB2312" w:cs="仿宋_GB2312"/>
                <w:i w:val="0"/>
                <w:iCs w:val="0"/>
                <w:color w:val="FF0000"/>
                <w:kern w:val="0"/>
                <w:sz w:val="20"/>
                <w:szCs w:val="20"/>
                <w:u w:val="none"/>
                <w:lang w:val="en-US" w:eastAsia="zh-CN" w:bidi="ar"/>
              </w:rPr>
              <w:t>100/99</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FF0000"/>
                <w:sz w:val="20"/>
                <w:szCs w:val="20"/>
              </w:rPr>
            </w:pPr>
            <w:r>
              <w:rPr>
                <w:rFonts w:hint="default" w:ascii="仿宋_GB2312" w:hAnsi="宋体" w:eastAsia="仿宋_GB2312" w:cs="仿宋_GB2312"/>
                <w:i w:val="0"/>
                <w:iCs w:val="0"/>
                <w:color w:val="FF0000"/>
                <w:kern w:val="0"/>
                <w:sz w:val="20"/>
                <w:szCs w:val="20"/>
                <w:u w:val="none"/>
                <w:lang w:val="en-US" w:eastAsia="zh-CN" w:bidi="ar"/>
              </w:rPr>
              <w:t>100/100</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FF0000"/>
                <w:sz w:val="20"/>
                <w:szCs w:val="20"/>
              </w:rPr>
            </w:pPr>
            <w:r>
              <w:rPr>
                <w:rFonts w:hint="default" w:ascii="仿宋_GB2312" w:hAnsi="宋体" w:eastAsia="仿宋_GB2312" w:cs="仿宋_GB2312"/>
                <w:i w:val="0"/>
                <w:iCs w:val="0"/>
                <w:color w:val="FF0000"/>
                <w:kern w:val="0"/>
                <w:sz w:val="20"/>
                <w:szCs w:val="20"/>
                <w:u w:val="none"/>
                <w:lang w:val="en-US" w:eastAsia="zh-CN" w:bidi="ar"/>
              </w:rPr>
              <w:t>100/98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层高</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建筑结构</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基础设施设备</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专业设施设备</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建筑外观与公共装修</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完损程度</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综合调整系数</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0.925</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0.9158</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0.9344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6" w:type="pct"/>
            <w:noWrap w:val="0"/>
            <w:vAlign w:val="center"/>
          </w:tcPr>
          <w:p>
            <w:pPr>
              <w:widowControl/>
              <w:jc w:val="center"/>
              <w:textAlignment w:val="center"/>
              <w:rPr>
                <w:rFonts w:ascii="仿宋_GB2312" w:hAnsi="宋体" w:eastAsia="仿宋_GB2312" w:cs="仿宋_GB2312"/>
                <w:b/>
                <w:bCs/>
                <w:color w:val="000000"/>
                <w:sz w:val="20"/>
                <w:szCs w:val="20"/>
              </w:rPr>
            </w:pPr>
            <w:r>
              <w:rPr>
                <w:rFonts w:ascii="仿宋_GB2312" w:hAnsi="宋体" w:eastAsia="仿宋_GB2312" w:cs="仿宋_GB2312"/>
                <w:b/>
                <w:bCs/>
                <w:color w:val="000000"/>
                <w:kern w:val="0"/>
                <w:sz w:val="20"/>
                <w:szCs w:val="20"/>
                <w:lang w:bidi="ar"/>
              </w:rPr>
              <w:t>比准价格</w:t>
            </w:r>
          </w:p>
        </w:tc>
        <w:tc>
          <w:tcPr>
            <w:tcW w:w="2212"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1,943</w:t>
            </w:r>
          </w:p>
        </w:tc>
        <w:tc>
          <w:tcPr>
            <w:tcW w:w="2348"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2,015</w:t>
            </w:r>
          </w:p>
        </w:tc>
        <w:tc>
          <w:tcPr>
            <w:tcW w:w="2104" w:type="dxa"/>
            <w:noWrap w:val="0"/>
            <w:vAlign w:val="center"/>
          </w:tcPr>
          <w:p>
            <w:pPr>
              <w:keepNext w:val="0"/>
              <w:keepLines w:val="0"/>
              <w:widowControl/>
              <w:suppressLineNumbers w:val="0"/>
              <w:jc w:val="center"/>
              <w:textAlignment w:val="center"/>
              <w:rPr>
                <w:rFonts w:ascii="仿宋_GB2312" w:hAnsi="宋体" w:eastAsia="仿宋_GB2312" w:cs="仿宋_GB2312"/>
                <w:color w:val="000000"/>
                <w:sz w:val="20"/>
                <w:szCs w:val="20"/>
              </w:rPr>
            </w:pPr>
            <w:r>
              <w:rPr>
                <w:rFonts w:hint="default" w:ascii="仿宋_GB2312" w:hAnsi="宋体" w:eastAsia="仿宋_GB2312" w:cs="仿宋_GB2312"/>
                <w:i w:val="0"/>
                <w:iCs w:val="0"/>
                <w:color w:val="000000"/>
                <w:kern w:val="0"/>
                <w:sz w:val="20"/>
                <w:szCs w:val="20"/>
                <w:u w:val="none"/>
                <w:lang w:val="en-US" w:eastAsia="zh-CN" w:bidi="ar"/>
              </w:rPr>
              <w:t>2,102</w:t>
            </w:r>
          </w:p>
        </w:tc>
      </w:tr>
    </w:tbl>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从上表可以看出，三个比准价格相差幅度不大，综合考虑后采用三个比准价格的加权平均作为估价对象的评估结果，则有：</w:t>
      </w:r>
    </w:p>
    <w:p>
      <w:pPr>
        <w:adjustRightInd w:val="0"/>
        <w:snapToGrid w:val="0"/>
        <w:spacing w:line="360" w:lineRule="auto"/>
        <w:ind w:firstLine="337" w:firstLineChars="1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估价对象揭阳市惠来县惠城镇葵阳对外工业区家用电器厂-北楼的评估结果如下：</w:t>
      </w:r>
    </w:p>
    <w:p>
      <w:pPr>
        <w:adjustRightInd w:val="0"/>
        <w:snapToGrid w:val="0"/>
        <w:spacing w:line="360" w:lineRule="auto"/>
        <w:ind w:firstLine="337" w:firstLineChars="100"/>
        <w:rPr>
          <w:rFonts w:hint="default"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评估单价=（1</w:t>
      </w:r>
      <w:r>
        <w:rPr>
          <w:rFonts w:hint="default" w:ascii="仿宋_GB2312" w:hAnsi="宋体" w:eastAsia="仿宋_GB2312" w:cs="Times New Roman"/>
          <w:snapToGrid w:val="0"/>
          <w:color w:val="auto"/>
          <w:kern w:val="0"/>
          <w:sz w:val="28"/>
          <w:szCs w:val="28"/>
          <w:lang w:val="en-US" w:eastAsia="zh-CN"/>
        </w:rPr>
        <w:t>,</w:t>
      </w:r>
      <w:r>
        <w:rPr>
          <w:rFonts w:hint="eastAsia" w:ascii="仿宋_GB2312" w:hAnsi="宋体" w:eastAsia="仿宋_GB2312" w:cs="Times New Roman"/>
          <w:snapToGrid w:val="0"/>
          <w:color w:val="auto"/>
          <w:kern w:val="0"/>
          <w:sz w:val="28"/>
          <w:szCs w:val="28"/>
          <w:lang w:val="en-US" w:eastAsia="zh-CN"/>
        </w:rPr>
        <w:t>943+</w:t>
      </w:r>
      <w:r>
        <w:rPr>
          <w:rFonts w:hint="default" w:ascii="仿宋_GB2312" w:hAnsi="宋体" w:eastAsia="仿宋_GB2312" w:cs="Times New Roman"/>
          <w:snapToGrid w:val="0"/>
          <w:color w:val="auto"/>
          <w:kern w:val="0"/>
          <w:sz w:val="28"/>
          <w:szCs w:val="28"/>
          <w:lang w:val="en-US" w:eastAsia="zh-CN"/>
        </w:rPr>
        <w:t>2,</w:t>
      </w:r>
      <w:r>
        <w:rPr>
          <w:rFonts w:hint="eastAsia" w:ascii="仿宋_GB2312" w:hAnsi="宋体" w:eastAsia="仿宋_GB2312" w:cs="Times New Roman"/>
          <w:snapToGrid w:val="0"/>
          <w:color w:val="auto"/>
          <w:kern w:val="0"/>
          <w:sz w:val="28"/>
          <w:szCs w:val="28"/>
          <w:lang w:val="en-US" w:eastAsia="zh-CN"/>
        </w:rPr>
        <w:t>0</w:t>
      </w:r>
      <w:r>
        <w:rPr>
          <w:rFonts w:hint="default" w:ascii="仿宋_GB2312" w:hAnsi="宋体" w:eastAsia="仿宋_GB2312" w:cs="Times New Roman"/>
          <w:snapToGrid w:val="0"/>
          <w:color w:val="auto"/>
          <w:kern w:val="0"/>
          <w:sz w:val="28"/>
          <w:szCs w:val="28"/>
          <w:lang w:val="en-US" w:eastAsia="zh-CN"/>
        </w:rPr>
        <w:t>15</w:t>
      </w:r>
      <w:r>
        <w:rPr>
          <w:rFonts w:hint="eastAsia" w:ascii="仿宋_GB2312" w:hAnsi="宋体" w:eastAsia="仿宋_GB2312" w:cs="Times New Roman"/>
          <w:snapToGrid w:val="0"/>
          <w:color w:val="auto"/>
          <w:kern w:val="0"/>
          <w:sz w:val="28"/>
          <w:szCs w:val="28"/>
          <w:lang w:val="en-US" w:eastAsia="zh-CN"/>
        </w:rPr>
        <w:t>+</w:t>
      </w:r>
      <w:r>
        <w:rPr>
          <w:rFonts w:hint="default" w:ascii="仿宋_GB2312" w:hAnsi="宋体" w:eastAsia="仿宋_GB2312" w:cs="Times New Roman"/>
          <w:snapToGrid w:val="0"/>
          <w:color w:val="auto"/>
          <w:kern w:val="0"/>
          <w:sz w:val="28"/>
          <w:szCs w:val="28"/>
          <w:lang w:val="en-US" w:eastAsia="zh-CN"/>
        </w:rPr>
        <w:t>2,1</w:t>
      </w:r>
      <w:r>
        <w:rPr>
          <w:rFonts w:hint="eastAsia" w:ascii="仿宋_GB2312" w:hAnsi="宋体" w:eastAsia="仿宋_GB2312" w:cs="Times New Roman"/>
          <w:snapToGrid w:val="0"/>
          <w:color w:val="auto"/>
          <w:kern w:val="0"/>
          <w:sz w:val="28"/>
          <w:szCs w:val="28"/>
          <w:lang w:val="en-US" w:eastAsia="zh-CN"/>
        </w:rPr>
        <w:t>02）/3</w:t>
      </w:r>
    </w:p>
    <w:p>
      <w:pPr>
        <w:adjustRightInd w:val="0"/>
        <w:snapToGrid w:val="0"/>
        <w:spacing w:line="360" w:lineRule="auto"/>
        <w:ind w:firstLine="1348" w:firstLineChars="400"/>
        <w:rPr>
          <w:rFonts w:hint="eastAsia" w:ascii="仿宋_GB2312" w:hAnsi="宋体" w:eastAsia="仿宋_GB2312" w:cs="Times New Roman"/>
          <w:snapToGrid w:val="0"/>
          <w:color w:val="auto"/>
          <w:kern w:val="0"/>
          <w:sz w:val="28"/>
          <w:szCs w:val="28"/>
          <w:lang w:val="en-US" w:eastAsia="zh-CN"/>
        </w:rPr>
      </w:pPr>
      <w:r>
        <w:rPr>
          <w:rFonts w:hint="eastAsia" w:ascii="仿宋_GB2312" w:hAnsi="宋体" w:eastAsia="仿宋_GB2312" w:cs="Times New Roman"/>
          <w:snapToGrid w:val="0"/>
          <w:color w:val="auto"/>
          <w:kern w:val="0"/>
          <w:sz w:val="28"/>
          <w:szCs w:val="28"/>
          <w:lang w:val="en-US" w:eastAsia="zh-CN"/>
        </w:rPr>
        <w:t>=2,000元/㎡(取整至百位)</w:t>
      </w:r>
    </w:p>
    <w:p>
      <w:pPr>
        <w:tabs>
          <w:tab w:val="left" w:pos="0"/>
        </w:tabs>
        <w:adjustRightInd w:val="0"/>
        <w:snapToGrid w:val="0"/>
        <w:spacing w:line="480" w:lineRule="exact"/>
        <w:ind w:firstLine="480"/>
        <w:rPr>
          <w:rFonts w:ascii="仿宋_GB2312" w:eastAsia="仿宋_GB2312"/>
          <w:b/>
          <w:snapToGrid w:val="0"/>
          <w:kern w:val="0"/>
          <w:sz w:val="28"/>
          <w:szCs w:val="28"/>
        </w:rPr>
      </w:pPr>
      <w:r>
        <w:rPr>
          <w:rFonts w:hint="eastAsia" w:ascii="仿宋_GB2312" w:eastAsia="仿宋_GB2312"/>
          <w:b/>
          <w:snapToGrid w:val="0"/>
          <w:kern w:val="0"/>
          <w:sz w:val="28"/>
          <w:szCs w:val="28"/>
        </w:rPr>
        <w:t>二、收益法：</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收益法公式：本次评估采用收益递增的公式。</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P=A/(Y- g) ×[1-（1+g）^n /（Y+1）^n]</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 xml:space="preserve">其中 P：收益价格      </w:t>
      </w:r>
    </w:p>
    <w:p>
      <w:pPr>
        <w:tabs>
          <w:tab w:val="left" w:pos="0"/>
        </w:tabs>
        <w:adjustRightInd w:val="0"/>
        <w:snapToGrid w:val="0"/>
        <w:spacing w:line="480" w:lineRule="exact"/>
        <w:ind w:firstLine="1142" w:firstLineChars="339"/>
        <w:rPr>
          <w:rFonts w:ascii="仿宋_GB2312" w:eastAsia="仿宋_GB2312"/>
          <w:snapToGrid w:val="0"/>
          <w:kern w:val="0"/>
          <w:sz w:val="28"/>
          <w:szCs w:val="28"/>
        </w:rPr>
      </w:pPr>
      <w:r>
        <w:rPr>
          <w:rFonts w:hint="eastAsia" w:ascii="仿宋_GB2312" w:eastAsia="仿宋_GB2312"/>
          <w:snapToGrid w:val="0"/>
          <w:kern w:val="0"/>
          <w:sz w:val="28"/>
          <w:szCs w:val="28"/>
        </w:rPr>
        <w:t>A: 年净收益</w:t>
      </w:r>
    </w:p>
    <w:p>
      <w:pPr>
        <w:tabs>
          <w:tab w:val="left" w:pos="0"/>
        </w:tabs>
        <w:adjustRightInd w:val="0"/>
        <w:snapToGrid w:val="0"/>
        <w:spacing w:line="480" w:lineRule="exact"/>
        <w:ind w:firstLine="1142" w:firstLineChars="339"/>
        <w:rPr>
          <w:rFonts w:ascii="仿宋_GB2312" w:eastAsia="仿宋_GB2312"/>
          <w:snapToGrid w:val="0"/>
          <w:kern w:val="0"/>
          <w:sz w:val="28"/>
          <w:szCs w:val="28"/>
        </w:rPr>
      </w:pPr>
      <w:r>
        <w:rPr>
          <w:rFonts w:hint="eastAsia" w:ascii="仿宋_GB2312" w:eastAsia="仿宋_GB2312"/>
          <w:snapToGrid w:val="0"/>
          <w:kern w:val="0"/>
          <w:sz w:val="28"/>
          <w:szCs w:val="28"/>
        </w:rPr>
        <w:t>Y：资本化率</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 xml:space="preserve">     g:年收益递增率 </w:t>
      </w:r>
    </w:p>
    <w:p>
      <w:pPr>
        <w:tabs>
          <w:tab w:val="left" w:pos="0"/>
        </w:tabs>
        <w:adjustRightInd w:val="0"/>
        <w:snapToGrid w:val="0"/>
        <w:spacing w:line="480" w:lineRule="exact"/>
        <w:ind w:firstLine="1142" w:firstLineChars="339"/>
        <w:rPr>
          <w:rFonts w:hint="eastAsia" w:ascii="仿宋_GB2312" w:eastAsia="仿宋_GB2312"/>
          <w:snapToGrid w:val="0"/>
          <w:kern w:val="0"/>
          <w:sz w:val="28"/>
          <w:szCs w:val="28"/>
        </w:rPr>
      </w:pPr>
      <w:r>
        <w:rPr>
          <w:rFonts w:hint="eastAsia" w:ascii="仿宋_GB2312" w:eastAsia="仿宋_GB2312"/>
          <w:snapToGrid w:val="0"/>
          <w:kern w:val="0"/>
          <w:sz w:val="28"/>
          <w:szCs w:val="28"/>
        </w:rPr>
        <w:t>n：收益年限</w:t>
      </w:r>
    </w:p>
    <w:p>
      <w:pPr>
        <w:tabs>
          <w:tab w:val="left" w:pos="0"/>
        </w:tabs>
        <w:adjustRightInd w:val="0"/>
        <w:snapToGrid w:val="0"/>
        <w:spacing w:line="360" w:lineRule="auto"/>
        <w:ind w:firstLine="480"/>
        <w:rPr>
          <w:rFonts w:hint="eastAsia" w:ascii="仿宋_GB2312" w:hAnsi="Times New Roman" w:eastAsia="仿宋_GB2312" w:cs="Times New Roman"/>
          <w:b/>
          <w:bCs/>
          <w:snapToGrid w:val="0"/>
          <w:kern w:val="0"/>
          <w:sz w:val="28"/>
          <w:szCs w:val="28"/>
        </w:rPr>
      </w:pPr>
      <w:r>
        <w:rPr>
          <w:rFonts w:hint="eastAsia" w:ascii="仿宋_GB2312" w:hAnsi="Times New Roman" w:eastAsia="仿宋_GB2312" w:cs="Times New Roman"/>
          <w:b/>
          <w:bCs/>
          <w:snapToGrid w:val="0"/>
          <w:kern w:val="0"/>
          <w:sz w:val="28"/>
          <w:szCs w:val="28"/>
        </w:rPr>
        <w:t>A.计算有效毛收入</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lang w:val="en-US" w:eastAsia="zh-CN"/>
        </w:rPr>
        <w:t>一、</w:t>
      </w:r>
      <w:r>
        <w:rPr>
          <w:rFonts w:hint="eastAsia" w:ascii="仿宋_GB2312" w:eastAsia="仿宋_GB2312"/>
          <w:snapToGrid w:val="0"/>
          <w:kern w:val="0"/>
          <w:sz w:val="28"/>
          <w:szCs w:val="28"/>
        </w:rPr>
        <w:t>确定月租金</w:t>
      </w:r>
    </w:p>
    <w:p>
      <w:pPr>
        <w:tabs>
          <w:tab w:val="left" w:pos="0"/>
        </w:tabs>
        <w:adjustRightInd w:val="0"/>
        <w:snapToGrid w:val="0"/>
        <w:spacing w:line="360" w:lineRule="auto"/>
        <w:ind w:firstLine="480"/>
        <w:rPr>
          <w:rFonts w:hint="eastAsia" w:ascii="仿宋_GB2312" w:eastAsia="仿宋_GB2312"/>
          <w:snapToGrid w:val="0"/>
          <w:color w:val="auto"/>
          <w:kern w:val="0"/>
          <w:sz w:val="28"/>
          <w:szCs w:val="28"/>
          <w:lang w:val="en-US" w:eastAsia="zh-CN"/>
        </w:rPr>
      </w:pPr>
      <w:r>
        <w:rPr>
          <w:rFonts w:hint="eastAsia" w:ascii="仿宋_GB2312" w:eastAsia="仿宋_GB2312"/>
          <w:snapToGrid w:val="0"/>
          <w:color w:val="auto"/>
          <w:kern w:val="0"/>
          <w:sz w:val="28"/>
          <w:szCs w:val="28"/>
          <w:lang w:val="en-US" w:eastAsia="zh-CN"/>
        </w:rPr>
        <w:t>月租金测算过程：</w:t>
      </w:r>
    </w:p>
    <w:p>
      <w:pPr>
        <w:tabs>
          <w:tab w:val="left" w:pos="0"/>
        </w:tabs>
        <w:adjustRightInd w:val="0"/>
        <w:snapToGrid w:val="0"/>
        <w:spacing w:line="360" w:lineRule="auto"/>
        <w:ind w:firstLine="480"/>
      </w:pPr>
      <w:r>
        <w:rPr>
          <w:rFonts w:hint="eastAsia" w:ascii="仿宋_GB2312" w:hAnsi="Times New Roman" w:eastAsia="仿宋_GB2312" w:cs="Times New Roman"/>
          <w:snapToGrid w:val="0"/>
          <w:kern w:val="0"/>
          <w:sz w:val="28"/>
          <w:szCs w:val="28"/>
          <w:lang w:val="en-US" w:eastAsia="zh-CN"/>
        </w:rPr>
        <w:t>（1）选取可比实例，建立比较基础</w:t>
      </w:r>
    </w:p>
    <w:p>
      <w:pPr>
        <w:pStyle w:val="18"/>
        <w:adjustRightInd w:val="0"/>
        <w:snapToGrid w:val="0"/>
        <w:spacing w:line="360" w:lineRule="auto"/>
        <w:ind w:firstLine="674" w:firstLineChars="200"/>
        <w:rPr>
          <w:rFonts w:ascii="仿宋_GB2312" w:hAnsi="楷体_GB2312" w:eastAsia="仿宋_GB2312" w:cs="楷体_GB2312"/>
          <w:snapToGrid w:val="0"/>
          <w:kern w:val="0"/>
          <w:szCs w:val="28"/>
        </w:rPr>
      </w:pPr>
      <w:r>
        <w:rPr>
          <w:rFonts w:hint="eastAsia" w:ascii="仿宋_GB2312" w:hAnsi="楷体_GB2312" w:eastAsia="仿宋_GB2312" w:cs="楷体_GB2312"/>
          <w:snapToGrid w:val="0"/>
          <w:kern w:val="0"/>
          <w:szCs w:val="28"/>
        </w:rPr>
        <w:t>根据估价对象房地产的具体情况，经评估人员对房地产市场进行调查，结合估价对象自身实际情况，在不违背交易时间接近、用途相同、地段相似的原则的前提下，经仔细筛选，确定A、B、C三个租金可比实例（价格单位为人民币元/</w:t>
      </w:r>
      <w:r>
        <w:rPr>
          <w:rFonts w:hint="eastAsia" w:ascii="宋体" w:hAnsi="宋体" w:cs="宋体"/>
          <w:snapToGrid w:val="0"/>
          <w:kern w:val="0"/>
          <w:szCs w:val="28"/>
        </w:rPr>
        <w:t>㎡</w:t>
      </w:r>
      <w:r>
        <w:rPr>
          <w:rFonts w:hint="eastAsia" w:ascii="仿宋_GB2312" w:hAnsi="仿宋_GB2312" w:eastAsia="仿宋_GB2312" w:cs="仿宋_GB2312"/>
          <w:snapToGrid w:val="0"/>
          <w:kern w:val="0"/>
          <w:szCs w:val="28"/>
        </w:rPr>
        <w:t>）</w:t>
      </w:r>
      <w:r>
        <w:rPr>
          <w:rFonts w:hint="eastAsia" w:ascii="仿宋_GB2312" w:hAnsi="楷体_GB2312" w:eastAsia="仿宋_GB2312" w:cs="楷体_GB2312"/>
          <w:snapToGrid w:val="0"/>
          <w:kern w:val="0"/>
          <w:szCs w:val="28"/>
        </w:rPr>
        <w:t>。</w:t>
      </w:r>
    </w:p>
    <w:p>
      <w:pPr>
        <w:pStyle w:val="18"/>
        <w:adjustRightInd w:val="0"/>
        <w:snapToGrid w:val="0"/>
        <w:spacing w:line="360" w:lineRule="auto"/>
        <w:ind w:firstLine="674" w:firstLineChars="200"/>
        <w:rPr>
          <w:rFonts w:ascii="仿宋_GB2312" w:hAnsi="楷体_GB2312" w:eastAsia="仿宋_GB2312" w:cs="楷体_GB2312"/>
          <w:snapToGrid w:val="0"/>
          <w:kern w:val="0"/>
          <w:szCs w:val="28"/>
        </w:rPr>
      </w:pPr>
      <w:r>
        <w:rPr>
          <w:rFonts w:hint="eastAsia" w:ascii="仿宋_GB2312" w:hAnsi="楷体_GB2312" w:eastAsia="仿宋_GB2312" w:cs="楷体_GB2312"/>
          <w:snapToGrid w:val="0"/>
          <w:kern w:val="0"/>
          <w:szCs w:val="28"/>
        </w:rPr>
        <w:t xml:space="preserve"> (1)、选择可比实例：</w:t>
      </w:r>
    </w:p>
    <w:p>
      <w:pPr>
        <w:pStyle w:val="18"/>
        <w:adjustRightInd w:val="0"/>
        <w:snapToGrid w:val="0"/>
        <w:spacing w:line="360" w:lineRule="auto"/>
        <w:ind w:firstLine="674" w:firstLineChars="200"/>
        <w:rPr>
          <w:rFonts w:ascii="仿宋_GB2312" w:hAnsi="楷体_GB2312" w:eastAsia="仿宋_GB2312" w:cs="楷体_GB2312"/>
          <w:snapToGrid w:val="0"/>
          <w:kern w:val="0"/>
          <w:szCs w:val="28"/>
        </w:rPr>
      </w:pPr>
      <w:r>
        <w:rPr>
          <w:rFonts w:hint="eastAsia" w:ascii="仿宋_GB2312" w:hAnsi="楷体_GB2312" w:eastAsia="仿宋_GB2312" w:cs="楷体_GB2312"/>
          <w:snapToGrid w:val="0"/>
          <w:kern w:val="0"/>
          <w:szCs w:val="28"/>
        </w:rPr>
        <w:t>可比实例A：</w:t>
      </w:r>
      <w:r>
        <w:rPr>
          <w:rFonts w:hint="eastAsia" w:ascii="仿宋_GB2312" w:hAnsi="楷体_GB2312" w:eastAsia="仿宋_GB2312" w:cs="楷体_GB2312"/>
          <w:snapToGrid w:val="0"/>
          <w:kern w:val="0"/>
          <w:szCs w:val="28"/>
          <w:lang w:eastAsia="zh-CN"/>
        </w:rPr>
        <w:t>揭阳惠来厂房</w:t>
      </w:r>
      <w:r>
        <w:rPr>
          <w:rFonts w:hint="eastAsia" w:ascii="仿宋_GB2312" w:hAnsi="楷体_GB2312" w:eastAsia="仿宋_GB2312" w:cs="楷体_GB2312"/>
          <w:snapToGrid w:val="0"/>
          <w:kern w:val="0"/>
          <w:szCs w:val="28"/>
        </w:rPr>
        <w:t>，建筑面积</w:t>
      </w:r>
      <w:r>
        <w:rPr>
          <w:rFonts w:hint="eastAsia" w:ascii="仿宋_GB2312" w:hAnsi="楷体_GB2312" w:eastAsia="仿宋_GB2312" w:cs="楷体_GB2312"/>
          <w:snapToGrid w:val="0"/>
          <w:kern w:val="0"/>
          <w:szCs w:val="28"/>
          <w:lang w:val="en-US" w:eastAsia="zh-CN"/>
        </w:rPr>
        <w:t>210</w:t>
      </w:r>
      <w:r>
        <w:rPr>
          <w:rFonts w:hint="eastAsia" w:ascii="仿宋_GB2312" w:hAnsi="楷体_GB2312" w:eastAsia="仿宋_GB2312" w:cs="楷体_GB2312"/>
          <w:snapToGrid w:val="0"/>
          <w:kern w:val="0"/>
          <w:szCs w:val="28"/>
        </w:rPr>
        <w:t>㎡，月租金：</w:t>
      </w:r>
      <w:r>
        <w:rPr>
          <w:rFonts w:hint="eastAsia" w:ascii="仿宋_GB2312" w:hAnsi="楷体_GB2312" w:eastAsia="仿宋_GB2312" w:cs="楷体_GB2312"/>
          <w:snapToGrid w:val="0"/>
          <w:kern w:val="0"/>
          <w:szCs w:val="28"/>
          <w:lang w:val="en-US" w:eastAsia="zh-CN"/>
        </w:rPr>
        <w:t>11.4</w:t>
      </w:r>
      <w:r>
        <w:rPr>
          <w:rFonts w:hint="eastAsia" w:ascii="仿宋_GB2312" w:hAnsi="楷体_GB2312" w:eastAsia="仿宋_GB2312" w:cs="楷体_GB2312"/>
          <w:snapToGrid w:val="0"/>
          <w:kern w:val="0"/>
          <w:szCs w:val="28"/>
        </w:rPr>
        <w:t>元/平方米，</w:t>
      </w:r>
      <w:r>
        <w:rPr>
          <w:rFonts w:ascii="仿宋_GB2312" w:hAnsi="楷体_GB2312" w:eastAsia="仿宋_GB2312" w:cs="楷体_GB2312"/>
          <w:snapToGrid w:val="0"/>
          <w:kern w:val="0"/>
          <w:szCs w:val="28"/>
        </w:rPr>
        <w:t>案例来源：三级市场调查</w:t>
      </w:r>
      <w:r>
        <w:rPr>
          <w:rFonts w:hint="eastAsia" w:ascii="仿宋_GB2312" w:hAnsi="楷体_GB2312" w:eastAsia="仿宋_GB2312" w:cs="楷体_GB2312"/>
          <w:snapToGrid w:val="0"/>
          <w:kern w:val="0"/>
          <w:szCs w:val="28"/>
        </w:rPr>
        <w:t>。</w:t>
      </w:r>
    </w:p>
    <w:p>
      <w:pPr>
        <w:pStyle w:val="18"/>
        <w:adjustRightInd w:val="0"/>
        <w:snapToGrid w:val="0"/>
        <w:spacing w:line="360" w:lineRule="auto"/>
        <w:ind w:firstLine="674" w:firstLineChars="200"/>
        <w:jc w:val="center"/>
        <w:rPr>
          <w:color w:val="auto"/>
        </w:rPr>
      </w:pPr>
      <w:r>
        <w:drawing>
          <wp:inline distT="0" distB="0" distL="114300" distR="114300">
            <wp:extent cx="2192020" cy="1710690"/>
            <wp:effectExtent l="0" t="0" r="17780" b="381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1"/>
                    <a:stretch>
                      <a:fillRect/>
                    </a:stretch>
                  </pic:blipFill>
                  <pic:spPr>
                    <a:xfrm>
                      <a:off x="0" y="0"/>
                      <a:ext cx="2192020" cy="1710690"/>
                    </a:xfrm>
                    <a:prstGeom prst="rect">
                      <a:avLst/>
                    </a:prstGeom>
                    <a:noFill/>
                    <a:ln>
                      <a:noFill/>
                    </a:ln>
                  </pic:spPr>
                </pic:pic>
              </a:graphicData>
            </a:graphic>
          </wp:inline>
        </w:drawing>
      </w:r>
    </w:p>
    <w:p>
      <w:pPr>
        <w:pStyle w:val="18"/>
        <w:adjustRightInd w:val="0"/>
        <w:snapToGrid w:val="0"/>
        <w:spacing w:line="360" w:lineRule="auto"/>
        <w:ind w:firstLine="674" w:firstLineChars="200"/>
        <w:rPr>
          <w:rFonts w:ascii="仿宋_GB2312" w:hAnsi="楷体_GB2312" w:eastAsia="仿宋_GB2312" w:cs="楷体_GB2312"/>
          <w:snapToGrid w:val="0"/>
          <w:kern w:val="0"/>
          <w:szCs w:val="28"/>
        </w:rPr>
      </w:pPr>
      <w:r>
        <w:rPr>
          <w:rFonts w:hint="eastAsia" w:ascii="仿宋_GB2312" w:eastAsia="仿宋_GB2312"/>
          <w:snapToGrid w:val="0"/>
          <w:kern w:val="0"/>
          <w:szCs w:val="28"/>
        </w:rPr>
        <w:t>可比实例B：</w:t>
      </w:r>
      <w:r>
        <w:rPr>
          <w:rFonts w:hint="eastAsia" w:ascii="仿宋_GB2312" w:hAnsi="楷体_GB2312" w:eastAsia="仿宋_GB2312" w:cs="楷体_GB2312"/>
          <w:snapToGrid w:val="0"/>
          <w:kern w:val="0"/>
          <w:szCs w:val="28"/>
        </w:rPr>
        <w:t>揭阳普宁厂房，建筑面积</w:t>
      </w:r>
      <w:r>
        <w:rPr>
          <w:rFonts w:hint="eastAsia" w:ascii="仿宋_GB2312" w:hAnsi="楷体_GB2312" w:eastAsia="仿宋_GB2312" w:cs="楷体_GB2312"/>
          <w:snapToGrid w:val="0"/>
          <w:kern w:val="0"/>
          <w:szCs w:val="28"/>
          <w:lang w:val="en-US" w:eastAsia="zh-CN"/>
        </w:rPr>
        <w:t>2000</w:t>
      </w:r>
      <w:r>
        <w:rPr>
          <w:rFonts w:hint="eastAsia" w:ascii="仿宋_GB2312" w:hAnsi="楷体_GB2312" w:eastAsia="仿宋_GB2312" w:cs="楷体_GB2312"/>
          <w:snapToGrid w:val="0"/>
          <w:kern w:val="0"/>
          <w:szCs w:val="28"/>
        </w:rPr>
        <w:t>㎡，月租金：</w:t>
      </w:r>
      <w:r>
        <w:rPr>
          <w:rFonts w:hint="eastAsia" w:ascii="仿宋_GB2312" w:hAnsi="楷体_GB2312" w:eastAsia="仿宋_GB2312" w:cs="楷体_GB2312"/>
          <w:snapToGrid w:val="0"/>
          <w:kern w:val="0"/>
          <w:szCs w:val="28"/>
          <w:lang w:val="en-US" w:eastAsia="zh-CN"/>
        </w:rPr>
        <w:t>12.9</w:t>
      </w:r>
      <w:r>
        <w:rPr>
          <w:rFonts w:hint="eastAsia" w:ascii="仿宋_GB2312" w:hAnsi="楷体_GB2312" w:eastAsia="仿宋_GB2312" w:cs="楷体_GB2312"/>
          <w:snapToGrid w:val="0"/>
          <w:kern w:val="0"/>
          <w:szCs w:val="28"/>
        </w:rPr>
        <w:t>元/平方米，</w:t>
      </w:r>
      <w:r>
        <w:rPr>
          <w:rFonts w:ascii="仿宋_GB2312" w:hAnsi="楷体_GB2312" w:eastAsia="仿宋_GB2312" w:cs="楷体_GB2312"/>
          <w:snapToGrid w:val="0"/>
          <w:kern w:val="0"/>
          <w:szCs w:val="28"/>
        </w:rPr>
        <w:t>案例来源：三级市场调查</w:t>
      </w:r>
      <w:r>
        <w:rPr>
          <w:rFonts w:hint="eastAsia" w:ascii="仿宋_GB2312" w:hAnsi="楷体_GB2312" w:eastAsia="仿宋_GB2312" w:cs="楷体_GB2312"/>
          <w:snapToGrid w:val="0"/>
          <w:kern w:val="0"/>
          <w:szCs w:val="28"/>
        </w:rPr>
        <w:t>。</w:t>
      </w:r>
    </w:p>
    <w:p>
      <w:pPr>
        <w:tabs>
          <w:tab w:val="left" w:pos="0"/>
        </w:tabs>
        <w:adjustRightInd w:val="0"/>
        <w:snapToGrid w:val="0"/>
        <w:spacing w:line="360" w:lineRule="auto"/>
        <w:ind w:firstLine="480"/>
        <w:jc w:val="center"/>
        <w:rPr>
          <w:rFonts w:ascii="仿宋_GB2312" w:eastAsia="仿宋_GB2312"/>
          <w:snapToGrid w:val="0"/>
          <w:kern w:val="0"/>
          <w:sz w:val="28"/>
          <w:szCs w:val="28"/>
        </w:rPr>
      </w:pPr>
      <w:r>
        <w:drawing>
          <wp:inline distT="0" distB="0" distL="114300" distR="114300">
            <wp:extent cx="2085975" cy="1732915"/>
            <wp:effectExtent l="0" t="0" r="9525" b="63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2"/>
                    <a:stretch>
                      <a:fillRect/>
                    </a:stretch>
                  </pic:blipFill>
                  <pic:spPr>
                    <a:xfrm>
                      <a:off x="0" y="0"/>
                      <a:ext cx="2085975" cy="1732915"/>
                    </a:xfrm>
                    <a:prstGeom prst="rect">
                      <a:avLst/>
                    </a:prstGeom>
                    <a:noFill/>
                    <a:ln>
                      <a:noFill/>
                    </a:ln>
                  </pic:spPr>
                </pic:pic>
              </a:graphicData>
            </a:graphic>
          </wp:inline>
        </w:drawing>
      </w:r>
    </w:p>
    <w:p>
      <w:pPr>
        <w:pStyle w:val="18"/>
        <w:adjustRightInd w:val="0"/>
        <w:snapToGrid w:val="0"/>
        <w:spacing w:line="360" w:lineRule="auto"/>
        <w:ind w:firstLine="674" w:firstLineChars="200"/>
        <w:rPr>
          <w:rFonts w:ascii="仿宋_GB2312" w:eastAsia="仿宋_GB2312"/>
          <w:snapToGrid w:val="0"/>
          <w:kern w:val="0"/>
          <w:szCs w:val="28"/>
        </w:rPr>
      </w:pPr>
      <w:r>
        <w:rPr>
          <w:rFonts w:hint="eastAsia" w:ascii="仿宋_GB2312" w:eastAsia="仿宋_GB2312"/>
          <w:snapToGrid w:val="0"/>
          <w:kern w:val="0"/>
          <w:szCs w:val="28"/>
        </w:rPr>
        <w:t>可比实例C：</w:t>
      </w:r>
      <w:r>
        <w:rPr>
          <w:rFonts w:hint="eastAsia" w:ascii="仿宋_GB2312" w:hAnsi="楷体_GB2312" w:eastAsia="仿宋_GB2312" w:cs="楷体_GB2312"/>
          <w:snapToGrid w:val="0"/>
          <w:kern w:val="0"/>
          <w:szCs w:val="28"/>
        </w:rPr>
        <w:t>揭阳普宁厂房，建筑面积</w:t>
      </w:r>
      <w:r>
        <w:rPr>
          <w:rFonts w:hint="eastAsia" w:ascii="仿宋_GB2312" w:hAnsi="楷体_GB2312" w:eastAsia="仿宋_GB2312" w:cs="楷体_GB2312"/>
          <w:snapToGrid w:val="0"/>
          <w:kern w:val="0"/>
          <w:szCs w:val="28"/>
          <w:lang w:val="en-US" w:eastAsia="zh-CN"/>
        </w:rPr>
        <w:t>2600</w:t>
      </w:r>
      <w:r>
        <w:rPr>
          <w:rFonts w:hint="eastAsia" w:ascii="仿宋_GB2312" w:hAnsi="楷体_GB2312" w:eastAsia="仿宋_GB2312" w:cs="楷体_GB2312"/>
          <w:snapToGrid w:val="0"/>
          <w:kern w:val="0"/>
          <w:szCs w:val="28"/>
        </w:rPr>
        <w:t>㎡，月租金：</w:t>
      </w:r>
      <w:r>
        <w:rPr>
          <w:rFonts w:hint="eastAsia" w:ascii="仿宋_GB2312" w:hAnsi="楷体_GB2312" w:eastAsia="仿宋_GB2312" w:cs="楷体_GB2312"/>
          <w:snapToGrid w:val="0"/>
          <w:kern w:val="0"/>
          <w:szCs w:val="28"/>
          <w:lang w:val="en-US" w:eastAsia="zh-CN"/>
        </w:rPr>
        <w:t>12</w:t>
      </w:r>
      <w:r>
        <w:rPr>
          <w:rFonts w:hint="eastAsia" w:ascii="仿宋_GB2312" w:hAnsi="楷体_GB2312" w:eastAsia="仿宋_GB2312" w:cs="楷体_GB2312"/>
          <w:snapToGrid w:val="0"/>
          <w:kern w:val="0"/>
          <w:szCs w:val="28"/>
        </w:rPr>
        <w:t>元/平方米，</w:t>
      </w:r>
      <w:r>
        <w:rPr>
          <w:rFonts w:ascii="仿宋_GB2312" w:hAnsi="楷体_GB2312" w:eastAsia="仿宋_GB2312" w:cs="楷体_GB2312"/>
          <w:snapToGrid w:val="0"/>
          <w:kern w:val="0"/>
          <w:szCs w:val="28"/>
        </w:rPr>
        <w:t>案例来源：三级市场调查</w:t>
      </w:r>
      <w:r>
        <w:rPr>
          <w:rFonts w:hint="eastAsia" w:ascii="仿宋_GB2312" w:hAnsi="楷体_GB2312" w:eastAsia="仿宋_GB2312" w:cs="楷体_GB2312"/>
          <w:snapToGrid w:val="0"/>
          <w:kern w:val="0"/>
          <w:szCs w:val="28"/>
        </w:rPr>
        <w:t>。</w:t>
      </w:r>
    </w:p>
    <w:p>
      <w:pPr>
        <w:tabs>
          <w:tab w:val="left" w:pos="0"/>
        </w:tabs>
        <w:adjustRightInd w:val="0"/>
        <w:snapToGrid w:val="0"/>
        <w:spacing w:line="360" w:lineRule="auto"/>
        <w:ind w:firstLine="480"/>
        <w:jc w:val="center"/>
      </w:pPr>
      <w:r>
        <w:drawing>
          <wp:inline distT="0" distB="0" distL="114300" distR="114300">
            <wp:extent cx="2320290" cy="1610360"/>
            <wp:effectExtent l="0" t="0" r="3810" b="889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3"/>
                    <a:stretch>
                      <a:fillRect/>
                    </a:stretch>
                  </pic:blipFill>
                  <pic:spPr>
                    <a:xfrm>
                      <a:off x="0" y="0"/>
                      <a:ext cx="2320290" cy="1610360"/>
                    </a:xfrm>
                    <a:prstGeom prst="rect">
                      <a:avLst/>
                    </a:prstGeom>
                    <a:noFill/>
                    <a:ln>
                      <a:noFill/>
                    </a:ln>
                  </pic:spPr>
                </pic:pic>
              </a:graphicData>
            </a:graphic>
          </wp:inline>
        </w:drawing>
      </w:r>
    </w:p>
    <w:p>
      <w:pPr>
        <w:widowControl/>
        <w:spacing w:line="360" w:lineRule="auto"/>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具体情况详见可比实例情况表：</w:t>
      </w:r>
    </w:p>
    <w:p>
      <w:pPr>
        <w:widowControl/>
        <w:spacing w:line="360" w:lineRule="auto"/>
        <w:ind w:firstLine="674" w:firstLineChars="200"/>
        <w:jc w:val="center"/>
        <w:rPr>
          <w:rFonts w:ascii="仿宋_GB2312" w:hAnsi="宋体" w:eastAsia="仿宋_GB2312"/>
          <w:b/>
          <w:kern w:val="0"/>
          <w:sz w:val="28"/>
          <w:szCs w:val="28"/>
        </w:rPr>
      </w:pPr>
      <w:r>
        <w:rPr>
          <w:rFonts w:hint="eastAsia" w:ascii="仿宋_GB2312" w:hAnsi="宋体" w:eastAsia="仿宋_GB2312"/>
          <w:b/>
          <w:kern w:val="0"/>
          <w:sz w:val="28"/>
          <w:szCs w:val="28"/>
        </w:rPr>
        <w:t>可比实例情况表</w:t>
      </w:r>
    </w:p>
    <w:tbl>
      <w:tblPr>
        <w:tblStyle w:val="45"/>
        <w:tblW w:w="5106" w:type="pct"/>
        <w:tblInd w:w="0" w:type="dxa"/>
        <w:tblLayout w:type="autofit"/>
        <w:tblCellMar>
          <w:top w:w="0" w:type="dxa"/>
          <w:left w:w="108" w:type="dxa"/>
          <w:bottom w:w="0" w:type="dxa"/>
          <w:right w:w="108" w:type="dxa"/>
        </w:tblCellMar>
      </w:tblPr>
      <w:tblGrid>
        <w:gridCol w:w="483"/>
        <w:gridCol w:w="1391"/>
        <w:gridCol w:w="2051"/>
        <w:gridCol w:w="2170"/>
        <w:gridCol w:w="2073"/>
        <w:gridCol w:w="2006"/>
      </w:tblGrid>
      <w:tr>
        <w:tblPrEx>
          <w:tblCellMar>
            <w:top w:w="0" w:type="dxa"/>
            <w:left w:w="108" w:type="dxa"/>
            <w:bottom w:w="0" w:type="dxa"/>
            <w:right w:w="108" w:type="dxa"/>
          </w:tblCellMar>
        </w:tblPrEx>
        <w:trPr>
          <w:trHeight w:val="284" w:hRule="atLeast"/>
        </w:trPr>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比较因素</w:t>
            </w:r>
          </w:p>
        </w:tc>
        <w:tc>
          <w:tcPr>
            <w:tcW w:w="205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估价对象</w:t>
            </w:r>
          </w:p>
        </w:tc>
        <w:tc>
          <w:tcPr>
            <w:tcW w:w="2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A</w:t>
            </w:r>
          </w:p>
        </w:tc>
        <w:tc>
          <w:tcPr>
            <w:tcW w:w="20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B</w:t>
            </w:r>
          </w:p>
        </w:tc>
        <w:tc>
          <w:tcPr>
            <w:tcW w:w="20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C</w:t>
            </w:r>
          </w:p>
        </w:tc>
      </w:tr>
      <w:tr>
        <w:tblPrEx>
          <w:tblCellMar>
            <w:top w:w="0" w:type="dxa"/>
            <w:left w:w="108" w:type="dxa"/>
            <w:bottom w:w="0" w:type="dxa"/>
            <w:right w:w="108" w:type="dxa"/>
          </w:tblCellMar>
        </w:tblPrEx>
        <w:trPr>
          <w:trHeight w:val="284" w:hRule="atLeast"/>
        </w:trPr>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位置</w:t>
            </w:r>
          </w:p>
        </w:tc>
        <w:tc>
          <w:tcPr>
            <w:tcW w:w="20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18"/>
                <w:szCs w:val="18"/>
                <w:lang w:eastAsia="zh-CN"/>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揭阳市惠来县惠城镇葵阳对外工业区家用电器厂北楼</w:t>
            </w:r>
          </w:p>
        </w:tc>
        <w:tc>
          <w:tcPr>
            <w:tcW w:w="2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揭阳惠来厂房</w:t>
            </w:r>
          </w:p>
        </w:tc>
        <w:tc>
          <w:tcPr>
            <w:tcW w:w="20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揭阳普宁厂房</w:t>
            </w:r>
          </w:p>
        </w:tc>
        <w:tc>
          <w:tcPr>
            <w:tcW w:w="2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揭阳普宁厂房</w:t>
            </w:r>
          </w:p>
        </w:tc>
      </w:tr>
      <w:tr>
        <w:tblPrEx>
          <w:tblCellMar>
            <w:top w:w="0" w:type="dxa"/>
            <w:left w:w="108" w:type="dxa"/>
            <w:bottom w:w="0" w:type="dxa"/>
            <w:right w:w="108" w:type="dxa"/>
          </w:tblCellMar>
        </w:tblPrEx>
        <w:trPr>
          <w:trHeight w:val="284" w:hRule="atLeast"/>
        </w:trPr>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房屋类型</w:t>
            </w:r>
          </w:p>
        </w:tc>
        <w:tc>
          <w:tcPr>
            <w:tcW w:w="20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厂房</w:t>
            </w:r>
          </w:p>
        </w:tc>
        <w:tc>
          <w:tcPr>
            <w:tcW w:w="2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厂房</w:t>
            </w:r>
          </w:p>
        </w:tc>
        <w:tc>
          <w:tcPr>
            <w:tcW w:w="20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厂房</w:t>
            </w:r>
          </w:p>
        </w:tc>
        <w:tc>
          <w:tcPr>
            <w:tcW w:w="2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厂房</w:t>
            </w:r>
          </w:p>
        </w:tc>
      </w:tr>
      <w:tr>
        <w:tblPrEx>
          <w:tblCellMar>
            <w:top w:w="0" w:type="dxa"/>
            <w:left w:w="108" w:type="dxa"/>
            <w:bottom w:w="0" w:type="dxa"/>
            <w:right w:w="108" w:type="dxa"/>
          </w:tblCellMar>
        </w:tblPrEx>
        <w:trPr>
          <w:trHeight w:val="284" w:hRule="atLeast"/>
        </w:trPr>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交易类型</w:t>
            </w:r>
          </w:p>
        </w:tc>
        <w:tc>
          <w:tcPr>
            <w:tcW w:w="205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w:t>
            </w:r>
          </w:p>
        </w:tc>
        <w:tc>
          <w:tcPr>
            <w:tcW w:w="2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出租</w:t>
            </w:r>
          </w:p>
        </w:tc>
        <w:tc>
          <w:tcPr>
            <w:tcW w:w="20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出租</w:t>
            </w:r>
          </w:p>
        </w:tc>
        <w:tc>
          <w:tcPr>
            <w:tcW w:w="20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出租</w:t>
            </w:r>
          </w:p>
        </w:tc>
      </w:tr>
      <w:tr>
        <w:tblPrEx>
          <w:tblCellMar>
            <w:top w:w="0" w:type="dxa"/>
            <w:left w:w="108" w:type="dxa"/>
            <w:bottom w:w="0" w:type="dxa"/>
            <w:right w:w="108" w:type="dxa"/>
          </w:tblCellMar>
        </w:tblPrEx>
        <w:trPr>
          <w:trHeight w:val="284" w:hRule="atLeast"/>
        </w:trPr>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交易单价</w:t>
            </w:r>
          </w:p>
        </w:tc>
        <w:tc>
          <w:tcPr>
            <w:tcW w:w="20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w:t>
            </w:r>
          </w:p>
        </w:tc>
        <w:tc>
          <w:tcPr>
            <w:tcW w:w="21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 xml:space="preserve">11.40 </w:t>
            </w:r>
          </w:p>
        </w:tc>
        <w:tc>
          <w:tcPr>
            <w:tcW w:w="207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 xml:space="preserve">12.90 </w:t>
            </w:r>
          </w:p>
        </w:tc>
        <w:tc>
          <w:tcPr>
            <w:tcW w:w="20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 xml:space="preserve">12.00 </w:t>
            </w:r>
          </w:p>
        </w:tc>
      </w:tr>
      <w:tr>
        <w:tblPrEx>
          <w:tblCellMar>
            <w:top w:w="0" w:type="dxa"/>
            <w:left w:w="108" w:type="dxa"/>
            <w:bottom w:w="0" w:type="dxa"/>
            <w:right w:w="108" w:type="dxa"/>
          </w:tblCellMar>
        </w:tblPrEx>
        <w:trPr>
          <w:trHeight w:val="284" w:hRule="atLeast"/>
        </w:trPr>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（元/m</w:t>
            </w:r>
            <w:r>
              <w:rPr>
                <w:rFonts w:hint="eastAsia" w:ascii="仿宋" w:hAnsi="仿宋" w:eastAsia="仿宋" w:cs="仿宋"/>
                <w:i w:val="0"/>
                <w:iCs w:val="0"/>
                <w:color w:val="000000" w:themeColor="text1"/>
                <w:kern w:val="0"/>
                <w:sz w:val="18"/>
                <w:szCs w:val="18"/>
                <w:u w:val="none"/>
                <w:vertAlign w:val="superscript"/>
                <w:lang w:val="en-US" w:eastAsia="zh-CN" w:bidi="ar"/>
                <w14:textFill>
                  <w14:solidFill>
                    <w14:schemeClr w14:val="tx1"/>
                  </w14:solidFill>
                </w14:textFill>
              </w:rPr>
              <w:t>2</w:t>
            </w: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w:t>
            </w:r>
          </w:p>
        </w:tc>
        <w:tc>
          <w:tcPr>
            <w:tcW w:w="20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kern w:val="0"/>
                <w:sz w:val="20"/>
                <w:lang w:bidi="ar"/>
                <w14:textFill>
                  <w14:solidFill>
                    <w14:schemeClr w14:val="tx1"/>
                  </w14:solidFill>
                </w14:textFill>
              </w:rPr>
            </w:pPr>
          </w:p>
        </w:tc>
        <w:tc>
          <w:tcPr>
            <w:tcW w:w="2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kern w:val="0"/>
                <w:sz w:val="20"/>
                <w:lang w:bidi="ar"/>
                <w14:textFill>
                  <w14:solidFill>
                    <w14:schemeClr w14:val="tx1"/>
                  </w14:solidFill>
                </w14:textFill>
              </w:rPr>
            </w:pPr>
          </w:p>
        </w:tc>
        <w:tc>
          <w:tcPr>
            <w:tcW w:w="20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kern w:val="0"/>
                <w:sz w:val="20"/>
                <w:lang w:bidi="ar"/>
                <w14:textFill>
                  <w14:solidFill>
                    <w14:schemeClr w14:val="tx1"/>
                  </w14:solidFill>
                </w14:textFill>
              </w:rPr>
            </w:pPr>
          </w:p>
        </w:tc>
        <w:tc>
          <w:tcPr>
            <w:tcW w:w="20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kern w:val="0"/>
                <w:sz w:val="20"/>
                <w:lang w:bidi="ar"/>
                <w14:textFill>
                  <w14:solidFill>
                    <w14:schemeClr w14:val="tx1"/>
                  </w14:solidFill>
                </w14:textFill>
              </w:rPr>
            </w:pPr>
          </w:p>
        </w:tc>
      </w:tr>
      <w:tr>
        <w:tblPrEx>
          <w:tblCellMar>
            <w:top w:w="0" w:type="dxa"/>
            <w:left w:w="108" w:type="dxa"/>
            <w:bottom w:w="0" w:type="dxa"/>
            <w:right w:w="108" w:type="dxa"/>
          </w:tblCellMar>
        </w:tblPrEx>
        <w:trPr>
          <w:trHeight w:val="284" w:hRule="atLeast"/>
        </w:trPr>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交易情况</w:t>
            </w:r>
          </w:p>
        </w:tc>
        <w:tc>
          <w:tcPr>
            <w:tcW w:w="20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正常</w:t>
            </w:r>
          </w:p>
        </w:tc>
        <w:tc>
          <w:tcPr>
            <w:tcW w:w="2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正常</w:t>
            </w:r>
          </w:p>
        </w:tc>
        <w:tc>
          <w:tcPr>
            <w:tcW w:w="20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正常</w:t>
            </w:r>
          </w:p>
        </w:tc>
        <w:tc>
          <w:tcPr>
            <w:tcW w:w="2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正常</w:t>
            </w:r>
          </w:p>
        </w:tc>
      </w:tr>
      <w:tr>
        <w:tblPrEx>
          <w:tblCellMar>
            <w:top w:w="0" w:type="dxa"/>
            <w:left w:w="108" w:type="dxa"/>
            <w:bottom w:w="0" w:type="dxa"/>
            <w:right w:w="108" w:type="dxa"/>
          </w:tblCellMar>
        </w:tblPrEx>
        <w:trPr>
          <w:trHeight w:val="284" w:hRule="atLeast"/>
        </w:trPr>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调查日期</w:t>
            </w:r>
          </w:p>
        </w:tc>
        <w:tc>
          <w:tcPr>
            <w:tcW w:w="20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w:t>
            </w:r>
          </w:p>
        </w:tc>
        <w:tc>
          <w:tcPr>
            <w:tcW w:w="2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2024年2月1日</w:t>
            </w:r>
          </w:p>
        </w:tc>
        <w:tc>
          <w:tcPr>
            <w:tcW w:w="20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2024年2月1日</w:t>
            </w:r>
          </w:p>
        </w:tc>
        <w:tc>
          <w:tcPr>
            <w:tcW w:w="2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2024年2月1日</w:t>
            </w:r>
          </w:p>
        </w:tc>
      </w:tr>
      <w:tr>
        <w:tblPrEx>
          <w:tblCellMar>
            <w:top w:w="0" w:type="dxa"/>
            <w:left w:w="108" w:type="dxa"/>
            <w:bottom w:w="0" w:type="dxa"/>
            <w:right w:w="108" w:type="dxa"/>
          </w:tblCellMar>
        </w:tblPrEx>
        <w:trPr>
          <w:trHeight w:val="654" w:hRule="atLeast"/>
        </w:trPr>
        <w:tc>
          <w:tcPr>
            <w:tcW w:w="483" w:type="dxa"/>
            <w:vMerge w:val="restart"/>
            <w:tcBorders>
              <w:top w:val="single" w:color="auto" w:sz="4" w:space="0"/>
              <w:left w:val="single" w:color="auto" w:sz="4" w:space="0"/>
              <w:right w:val="single" w:color="auto" w:sz="4" w:space="0"/>
            </w:tcBorders>
            <w:shd w:val="clear" w:color="auto" w:fill="auto"/>
            <w:textDirection w:val="tbRlV"/>
            <w:vAlign w:val="center"/>
          </w:tcPr>
          <w:p>
            <w:pPr>
              <w:keepNext w:val="0"/>
              <w:keepLines w:val="0"/>
              <w:widowControl/>
              <w:suppressLineNumbers w:val="0"/>
              <w:jc w:val="center"/>
              <w:textAlignment w:val="center"/>
              <w:rPr>
                <w:rFonts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20"/>
                <w:szCs w:val="20"/>
                <w:u w:val="none"/>
                <w:lang w:val="en-US" w:eastAsia="zh-CN" w:bidi="ar"/>
                <w14:textFill>
                  <w14:solidFill>
                    <w14:schemeClr w14:val="tx1"/>
                  </w14:solidFill>
                </w14:textFill>
              </w:rPr>
              <w:t>区位因素</w:t>
            </w:r>
          </w:p>
        </w:tc>
        <w:tc>
          <w:tcPr>
            <w:tcW w:w="139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道路通达度</w:t>
            </w:r>
          </w:p>
        </w:tc>
        <w:tc>
          <w:tcPr>
            <w:tcW w:w="205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临干道，通达度较高</w:t>
            </w:r>
          </w:p>
        </w:tc>
        <w:tc>
          <w:tcPr>
            <w:tcW w:w="2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临干道，通达度较高</w:t>
            </w:r>
          </w:p>
        </w:tc>
        <w:tc>
          <w:tcPr>
            <w:tcW w:w="20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临干道，通达度较高</w:t>
            </w:r>
          </w:p>
        </w:tc>
        <w:tc>
          <w:tcPr>
            <w:tcW w:w="20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临干道，通达度较高</w:t>
            </w:r>
          </w:p>
        </w:tc>
      </w:tr>
      <w:tr>
        <w:tblPrEx>
          <w:tblCellMar>
            <w:top w:w="0" w:type="dxa"/>
            <w:left w:w="108" w:type="dxa"/>
            <w:bottom w:w="0" w:type="dxa"/>
            <w:right w:w="108" w:type="dxa"/>
          </w:tblCellMar>
        </w:tblPrEx>
        <w:trPr>
          <w:trHeight w:val="317" w:hRule="atLeast"/>
        </w:trPr>
        <w:tc>
          <w:tcPr>
            <w:tcW w:w="483" w:type="dxa"/>
            <w:vMerge w:val="continue"/>
            <w:tcBorders>
              <w:left w:val="single" w:color="auto" w:sz="4" w:space="0"/>
              <w:right w:val="single" w:color="auto" w:sz="4" w:space="0"/>
            </w:tcBorders>
            <w:shd w:val="clear" w:color="auto" w:fill="auto"/>
            <w:textDirection w:val="tbRlV"/>
            <w:vAlign w:val="center"/>
          </w:tcPr>
          <w:p>
            <w:pPr>
              <w:jc w:val="center"/>
              <w:rPr>
                <w:rFonts w:ascii="仿宋_GB2312" w:hAnsi="仿宋_GB2312" w:eastAsia="仿宋_GB2312" w:cs="仿宋_GB2312"/>
                <w:b/>
                <w:bCs/>
                <w:color w:val="000000" w:themeColor="text1"/>
                <w:kern w:val="0"/>
                <w:sz w:val="18"/>
                <w:szCs w:val="18"/>
                <w14:textFill>
                  <w14:solidFill>
                    <w14:schemeClr w14:val="tx1"/>
                  </w14:solidFill>
                </w14:textFill>
              </w:rPr>
            </w:pPr>
          </w:p>
        </w:tc>
        <w:tc>
          <w:tcPr>
            <w:tcW w:w="13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交通状况</w:t>
            </w:r>
          </w:p>
        </w:tc>
        <w:tc>
          <w:tcPr>
            <w:tcW w:w="20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较方便</w:t>
            </w:r>
          </w:p>
        </w:tc>
        <w:tc>
          <w:tcPr>
            <w:tcW w:w="21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较方便</w:t>
            </w:r>
          </w:p>
        </w:tc>
        <w:tc>
          <w:tcPr>
            <w:tcW w:w="207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较方便</w:t>
            </w:r>
          </w:p>
        </w:tc>
        <w:tc>
          <w:tcPr>
            <w:tcW w:w="200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较方便</w:t>
            </w:r>
          </w:p>
        </w:tc>
      </w:tr>
      <w:tr>
        <w:tblPrEx>
          <w:tblCellMar>
            <w:top w:w="0" w:type="dxa"/>
            <w:left w:w="108" w:type="dxa"/>
            <w:bottom w:w="0" w:type="dxa"/>
            <w:right w:w="108" w:type="dxa"/>
          </w:tblCellMar>
        </w:tblPrEx>
        <w:trPr>
          <w:trHeight w:val="284" w:hRule="atLeast"/>
        </w:trPr>
        <w:tc>
          <w:tcPr>
            <w:tcW w:w="483" w:type="dxa"/>
            <w:vMerge w:val="continue"/>
            <w:tcBorders>
              <w:left w:val="single" w:color="auto" w:sz="4" w:space="0"/>
              <w:bottom w:val="single" w:color="auto" w:sz="4" w:space="0"/>
              <w:right w:val="single" w:color="auto" w:sz="4" w:space="0"/>
            </w:tcBorders>
            <w:shd w:val="clear" w:color="auto" w:fill="auto"/>
            <w:textDirection w:val="tbRlV"/>
            <w:vAlign w:val="center"/>
          </w:tcPr>
          <w:p>
            <w:pPr>
              <w:jc w:val="center"/>
              <w:rPr>
                <w:rFonts w:ascii="仿宋_GB2312" w:hAnsi="仿宋_GB2312" w:eastAsia="仿宋_GB2312" w:cs="仿宋_GB2312"/>
                <w:b/>
                <w:bCs/>
                <w:color w:val="000000" w:themeColor="text1"/>
                <w:kern w:val="0"/>
                <w:sz w:val="18"/>
                <w:szCs w:val="18"/>
                <w14:textFill>
                  <w14:solidFill>
                    <w14:schemeClr w14:val="tx1"/>
                  </w14:solidFill>
                </w14:textFill>
              </w:rPr>
            </w:pPr>
          </w:p>
        </w:tc>
        <w:tc>
          <w:tcPr>
            <w:tcW w:w="139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基础设施状况</w:t>
            </w:r>
          </w:p>
        </w:tc>
        <w:tc>
          <w:tcPr>
            <w:tcW w:w="20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五通一平</w:t>
            </w:r>
          </w:p>
        </w:tc>
        <w:tc>
          <w:tcPr>
            <w:tcW w:w="21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五通一平</w:t>
            </w:r>
          </w:p>
        </w:tc>
        <w:tc>
          <w:tcPr>
            <w:tcW w:w="207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五通一平</w:t>
            </w:r>
          </w:p>
        </w:tc>
        <w:tc>
          <w:tcPr>
            <w:tcW w:w="200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五通一平</w:t>
            </w:r>
          </w:p>
        </w:tc>
      </w:tr>
      <w:tr>
        <w:tblPrEx>
          <w:tblCellMar>
            <w:top w:w="0" w:type="dxa"/>
            <w:left w:w="108" w:type="dxa"/>
            <w:bottom w:w="0" w:type="dxa"/>
            <w:right w:w="108" w:type="dxa"/>
          </w:tblCellMar>
        </w:tblPrEx>
        <w:trPr>
          <w:trHeight w:val="284" w:hRule="atLeast"/>
        </w:trPr>
        <w:tc>
          <w:tcPr>
            <w:tcW w:w="483" w:type="dxa"/>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ascii="仿宋_GB2312" w:hAnsi="仿宋_GB2312" w:eastAsia="仿宋_GB2312" w:cs="仿宋_GB2312"/>
                <w:b/>
                <w:bCs/>
                <w:color w:val="000000" w:themeColor="text1"/>
                <w:kern w:val="0"/>
                <w:sz w:val="18"/>
                <w:szCs w:val="18"/>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公共配套设施</w:t>
            </w:r>
          </w:p>
        </w:tc>
        <w:tc>
          <w:tcPr>
            <w:tcW w:w="20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公共配套设施齐全</w:t>
            </w:r>
          </w:p>
        </w:tc>
        <w:tc>
          <w:tcPr>
            <w:tcW w:w="21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公共配套设施齐全</w:t>
            </w:r>
          </w:p>
        </w:tc>
        <w:tc>
          <w:tcPr>
            <w:tcW w:w="207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公共配套设施齐全</w:t>
            </w:r>
          </w:p>
        </w:tc>
        <w:tc>
          <w:tcPr>
            <w:tcW w:w="200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公共配套设施齐全</w:t>
            </w:r>
          </w:p>
        </w:tc>
      </w:tr>
      <w:tr>
        <w:tblPrEx>
          <w:tblCellMar>
            <w:top w:w="0" w:type="dxa"/>
            <w:left w:w="108" w:type="dxa"/>
            <w:bottom w:w="0" w:type="dxa"/>
            <w:right w:w="108" w:type="dxa"/>
          </w:tblCellMar>
        </w:tblPrEx>
        <w:trPr>
          <w:trHeight w:val="284" w:hRule="atLeast"/>
        </w:trPr>
        <w:tc>
          <w:tcPr>
            <w:tcW w:w="483" w:type="dxa"/>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ascii="仿宋_GB2312" w:hAnsi="仿宋_GB2312" w:eastAsia="仿宋_GB2312" w:cs="仿宋_GB2312"/>
                <w:b/>
                <w:bCs/>
                <w:color w:val="000000" w:themeColor="text1"/>
                <w:kern w:val="0"/>
                <w:sz w:val="18"/>
                <w:szCs w:val="18"/>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工业集聚度</w:t>
            </w:r>
          </w:p>
        </w:tc>
        <w:tc>
          <w:tcPr>
            <w:tcW w:w="20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周边多工业厂房，集聚度较高</w:t>
            </w:r>
          </w:p>
        </w:tc>
        <w:tc>
          <w:tcPr>
            <w:tcW w:w="21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周边多工业厂房，集聚度较高</w:t>
            </w:r>
          </w:p>
        </w:tc>
        <w:tc>
          <w:tcPr>
            <w:tcW w:w="207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周边多工业厂房，集聚度一般</w:t>
            </w:r>
          </w:p>
        </w:tc>
        <w:tc>
          <w:tcPr>
            <w:tcW w:w="200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周边多工业厂房，集聚度较高</w:t>
            </w:r>
          </w:p>
        </w:tc>
      </w:tr>
      <w:tr>
        <w:tblPrEx>
          <w:tblCellMar>
            <w:top w:w="0" w:type="dxa"/>
            <w:left w:w="108" w:type="dxa"/>
            <w:bottom w:w="0" w:type="dxa"/>
            <w:right w:w="108" w:type="dxa"/>
          </w:tblCellMar>
        </w:tblPrEx>
        <w:trPr>
          <w:trHeight w:val="284" w:hRule="atLeast"/>
        </w:trPr>
        <w:tc>
          <w:tcPr>
            <w:tcW w:w="483" w:type="dxa"/>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ascii="仿宋_GB2312" w:hAnsi="仿宋_GB2312" w:eastAsia="仿宋_GB2312" w:cs="仿宋_GB2312"/>
                <w:b/>
                <w:bCs/>
                <w:color w:val="000000" w:themeColor="text1"/>
                <w:kern w:val="0"/>
                <w:sz w:val="18"/>
                <w:szCs w:val="18"/>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环境优劣度</w:t>
            </w:r>
          </w:p>
        </w:tc>
        <w:tc>
          <w:tcPr>
            <w:tcW w:w="20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基本无污染</w:t>
            </w:r>
          </w:p>
        </w:tc>
        <w:tc>
          <w:tcPr>
            <w:tcW w:w="2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基本无污染</w:t>
            </w:r>
          </w:p>
        </w:tc>
        <w:tc>
          <w:tcPr>
            <w:tcW w:w="20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基本无污染</w:t>
            </w:r>
          </w:p>
        </w:tc>
        <w:tc>
          <w:tcPr>
            <w:tcW w:w="2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基本无污染</w:t>
            </w:r>
          </w:p>
        </w:tc>
      </w:tr>
      <w:tr>
        <w:tblPrEx>
          <w:tblCellMar>
            <w:top w:w="0" w:type="dxa"/>
            <w:left w:w="108" w:type="dxa"/>
            <w:bottom w:w="0" w:type="dxa"/>
            <w:right w:w="108" w:type="dxa"/>
          </w:tblCellMar>
        </w:tblPrEx>
        <w:trPr>
          <w:trHeight w:val="284" w:hRule="atLeast"/>
        </w:trPr>
        <w:tc>
          <w:tcPr>
            <w:tcW w:w="483"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keepNext w:val="0"/>
              <w:keepLines w:val="0"/>
              <w:widowControl/>
              <w:suppressLineNumbers w:val="0"/>
              <w:jc w:val="center"/>
              <w:textAlignment w:val="center"/>
              <w:rPr>
                <w:rFonts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20"/>
                <w:szCs w:val="20"/>
                <w:u w:val="none"/>
                <w:lang w:val="en-US" w:eastAsia="zh-CN" w:bidi="ar"/>
                <w14:textFill>
                  <w14:solidFill>
                    <w14:schemeClr w14:val="tx1"/>
                  </w14:solidFill>
                </w14:textFill>
              </w:rPr>
              <w:t>实物因素</w:t>
            </w:r>
          </w:p>
        </w:tc>
        <w:tc>
          <w:tcPr>
            <w:tcW w:w="13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20"/>
                <w:szCs w:val="20"/>
                <w:u w:val="none"/>
                <w:lang w:val="en-US" w:eastAsia="zh-CN" w:bidi="ar"/>
                <w14:textFill>
                  <w14:solidFill>
                    <w14:schemeClr w14:val="tx1"/>
                  </w14:solidFill>
                </w14:textFill>
              </w:rPr>
              <w:t>临路状况</w:t>
            </w:r>
          </w:p>
        </w:tc>
        <w:tc>
          <w:tcPr>
            <w:tcW w:w="20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临区间，好</w:t>
            </w:r>
          </w:p>
        </w:tc>
        <w:tc>
          <w:tcPr>
            <w:tcW w:w="2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临区间，好</w:t>
            </w:r>
          </w:p>
        </w:tc>
        <w:tc>
          <w:tcPr>
            <w:tcW w:w="20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临区间，好</w:t>
            </w:r>
          </w:p>
        </w:tc>
        <w:tc>
          <w:tcPr>
            <w:tcW w:w="2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临干道，较好</w:t>
            </w:r>
          </w:p>
        </w:tc>
      </w:tr>
      <w:tr>
        <w:tblPrEx>
          <w:tblCellMar>
            <w:top w:w="0" w:type="dxa"/>
            <w:left w:w="108" w:type="dxa"/>
            <w:bottom w:w="0" w:type="dxa"/>
            <w:right w:w="108" w:type="dxa"/>
          </w:tblCellMar>
        </w:tblPrEx>
        <w:trPr>
          <w:trHeight w:val="284" w:hRule="atLeast"/>
        </w:trPr>
        <w:tc>
          <w:tcPr>
            <w:tcW w:w="483" w:type="dxa"/>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_GB2312" w:hAnsi="仿宋_GB2312" w:eastAsia="仿宋_GB2312" w:cs="仿宋_GB2312"/>
                <w:b/>
                <w:bCs/>
                <w:color w:val="000000" w:themeColor="text1"/>
                <w:kern w:val="0"/>
                <w:sz w:val="18"/>
                <w:szCs w:val="18"/>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20"/>
                <w:szCs w:val="20"/>
                <w:u w:val="none"/>
                <w:lang w:val="en-US" w:eastAsia="zh-CN" w:bidi="ar"/>
                <w14:textFill>
                  <w14:solidFill>
                    <w14:schemeClr w14:val="tx1"/>
                  </w14:solidFill>
                </w14:textFill>
              </w:rPr>
              <w:t>完损程度</w:t>
            </w:r>
          </w:p>
        </w:tc>
        <w:tc>
          <w:tcPr>
            <w:tcW w:w="205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较好</w:t>
            </w:r>
          </w:p>
        </w:tc>
        <w:tc>
          <w:tcPr>
            <w:tcW w:w="2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较好</w:t>
            </w:r>
          </w:p>
        </w:tc>
        <w:tc>
          <w:tcPr>
            <w:tcW w:w="20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较好</w:t>
            </w:r>
          </w:p>
        </w:tc>
        <w:tc>
          <w:tcPr>
            <w:tcW w:w="20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较好</w:t>
            </w:r>
          </w:p>
        </w:tc>
      </w:tr>
      <w:tr>
        <w:tblPrEx>
          <w:tblCellMar>
            <w:top w:w="0" w:type="dxa"/>
            <w:left w:w="108" w:type="dxa"/>
            <w:bottom w:w="0" w:type="dxa"/>
            <w:right w:w="108" w:type="dxa"/>
          </w:tblCellMar>
        </w:tblPrEx>
        <w:trPr>
          <w:trHeight w:val="284" w:hRule="atLeast"/>
        </w:trPr>
        <w:tc>
          <w:tcPr>
            <w:tcW w:w="483" w:type="dxa"/>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_GB2312" w:hAnsi="仿宋_GB2312" w:eastAsia="仿宋_GB2312" w:cs="仿宋_GB2312"/>
                <w:b/>
                <w:bCs/>
                <w:color w:val="000000" w:themeColor="text1"/>
                <w:kern w:val="0"/>
                <w:sz w:val="18"/>
                <w:szCs w:val="18"/>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20"/>
                <w:szCs w:val="20"/>
                <w:u w:val="none"/>
                <w:lang w:val="en-US" w:eastAsia="zh-CN" w:bidi="ar"/>
                <w14:textFill>
                  <w14:solidFill>
                    <w14:schemeClr w14:val="tx1"/>
                  </w14:solidFill>
                </w14:textFill>
              </w:rPr>
              <w:t>面积大小</w:t>
            </w:r>
          </w:p>
        </w:tc>
        <w:tc>
          <w:tcPr>
            <w:tcW w:w="20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适中</w:t>
            </w:r>
          </w:p>
        </w:tc>
        <w:tc>
          <w:tcPr>
            <w:tcW w:w="2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较小</w:t>
            </w:r>
          </w:p>
        </w:tc>
        <w:tc>
          <w:tcPr>
            <w:tcW w:w="20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适中</w:t>
            </w:r>
          </w:p>
        </w:tc>
        <w:tc>
          <w:tcPr>
            <w:tcW w:w="20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适中</w:t>
            </w:r>
          </w:p>
        </w:tc>
      </w:tr>
      <w:tr>
        <w:tblPrEx>
          <w:tblCellMar>
            <w:top w:w="0" w:type="dxa"/>
            <w:left w:w="108" w:type="dxa"/>
            <w:bottom w:w="0" w:type="dxa"/>
            <w:right w:w="108" w:type="dxa"/>
          </w:tblCellMar>
        </w:tblPrEx>
        <w:trPr>
          <w:trHeight w:val="284" w:hRule="atLeast"/>
        </w:trPr>
        <w:tc>
          <w:tcPr>
            <w:tcW w:w="483" w:type="dxa"/>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_GB2312" w:hAnsi="仿宋_GB2312" w:eastAsia="仿宋_GB2312" w:cs="仿宋_GB2312"/>
                <w:b/>
                <w:bCs/>
                <w:color w:val="000000" w:themeColor="text1"/>
                <w:kern w:val="0"/>
                <w:sz w:val="18"/>
                <w:szCs w:val="18"/>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20"/>
                <w:szCs w:val="20"/>
                <w:u w:val="none"/>
                <w:lang w:val="en-US" w:eastAsia="zh-CN" w:bidi="ar"/>
                <w14:textFill>
                  <w14:solidFill>
                    <w14:schemeClr w14:val="tx1"/>
                  </w14:solidFill>
                </w14:textFill>
              </w:rPr>
              <w:t>设备设施</w:t>
            </w:r>
          </w:p>
        </w:tc>
        <w:tc>
          <w:tcPr>
            <w:tcW w:w="205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较齐全</w:t>
            </w:r>
          </w:p>
        </w:tc>
        <w:tc>
          <w:tcPr>
            <w:tcW w:w="2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较齐全</w:t>
            </w:r>
          </w:p>
        </w:tc>
        <w:tc>
          <w:tcPr>
            <w:tcW w:w="20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较齐全</w:t>
            </w:r>
          </w:p>
        </w:tc>
        <w:tc>
          <w:tcPr>
            <w:tcW w:w="20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较齐全</w:t>
            </w:r>
          </w:p>
        </w:tc>
      </w:tr>
      <w:tr>
        <w:tblPrEx>
          <w:tblCellMar>
            <w:top w:w="0" w:type="dxa"/>
            <w:left w:w="108" w:type="dxa"/>
            <w:bottom w:w="0" w:type="dxa"/>
            <w:right w:w="108" w:type="dxa"/>
          </w:tblCellMar>
        </w:tblPrEx>
        <w:trPr>
          <w:trHeight w:val="284" w:hRule="atLeast"/>
        </w:trPr>
        <w:tc>
          <w:tcPr>
            <w:tcW w:w="483" w:type="dxa"/>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_GB2312" w:hAnsi="仿宋_GB2312" w:eastAsia="仿宋_GB2312" w:cs="仿宋_GB2312"/>
                <w:b/>
                <w:bCs/>
                <w:color w:val="000000" w:themeColor="text1"/>
                <w:kern w:val="0"/>
                <w:sz w:val="18"/>
                <w:szCs w:val="18"/>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20"/>
                <w:szCs w:val="20"/>
                <w:u w:val="none"/>
                <w:lang w:val="en-US" w:eastAsia="zh-CN" w:bidi="ar"/>
                <w14:textFill>
                  <w14:solidFill>
                    <w14:schemeClr w14:val="tx1"/>
                  </w14:solidFill>
                </w14:textFill>
              </w:rPr>
              <w:t>室内装修</w:t>
            </w:r>
          </w:p>
        </w:tc>
        <w:tc>
          <w:tcPr>
            <w:tcW w:w="20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highlight w:val="none"/>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普通</w:t>
            </w:r>
          </w:p>
        </w:tc>
        <w:tc>
          <w:tcPr>
            <w:tcW w:w="21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highlight w:val="none"/>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普通</w:t>
            </w:r>
          </w:p>
        </w:tc>
        <w:tc>
          <w:tcPr>
            <w:tcW w:w="207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highlight w:val="none"/>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普通</w:t>
            </w:r>
          </w:p>
        </w:tc>
        <w:tc>
          <w:tcPr>
            <w:tcW w:w="200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highlight w:val="none"/>
                <w:lang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普通</w:t>
            </w:r>
          </w:p>
        </w:tc>
      </w:tr>
      <w:tr>
        <w:tblPrEx>
          <w:tblCellMar>
            <w:top w:w="0" w:type="dxa"/>
            <w:left w:w="108" w:type="dxa"/>
            <w:bottom w:w="0" w:type="dxa"/>
            <w:right w:w="108" w:type="dxa"/>
          </w:tblCellMar>
        </w:tblPrEx>
        <w:trPr>
          <w:trHeight w:val="284" w:hRule="atLeast"/>
        </w:trPr>
        <w:tc>
          <w:tcPr>
            <w:tcW w:w="483" w:type="dxa"/>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_GB2312" w:hAnsi="仿宋_GB2312" w:eastAsia="仿宋_GB2312" w:cs="仿宋_GB2312"/>
                <w:b/>
                <w:bCs/>
                <w:color w:val="000000" w:themeColor="text1"/>
                <w:kern w:val="0"/>
                <w:sz w:val="18"/>
                <w:szCs w:val="18"/>
                <w14:textFill>
                  <w14:solidFill>
                    <w14:schemeClr w14:val="tx1"/>
                  </w14:solidFill>
                </w14:textFill>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20"/>
                <w:szCs w:val="20"/>
                <w:u w:val="none"/>
                <w:lang w:val="en-US" w:eastAsia="zh-CN" w:bidi="ar"/>
                <w14:textFill>
                  <w14:solidFill>
                    <w14:schemeClr w14:val="tx1"/>
                  </w14:solidFill>
                </w14:textFill>
              </w:rPr>
              <w:t>物业配套管理</w:t>
            </w:r>
          </w:p>
        </w:tc>
        <w:tc>
          <w:tcPr>
            <w:tcW w:w="205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较好</w:t>
            </w:r>
          </w:p>
        </w:tc>
        <w:tc>
          <w:tcPr>
            <w:tcW w:w="21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较好</w:t>
            </w:r>
          </w:p>
        </w:tc>
        <w:tc>
          <w:tcPr>
            <w:tcW w:w="207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较好</w:t>
            </w:r>
          </w:p>
        </w:tc>
        <w:tc>
          <w:tcPr>
            <w:tcW w:w="200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themeColor="text1"/>
                <w:kern w:val="0"/>
                <w:sz w:val="20"/>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较好</w:t>
            </w:r>
          </w:p>
        </w:tc>
      </w:tr>
    </w:tbl>
    <w:p>
      <w:pPr>
        <w:widowControl/>
        <w:spacing w:line="360" w:lineRule="auto"/>
        <w:ind w:firstLine="674" w:firstLineChars="200"/>
        <w:rPr>
          <w:rFonts w:hint="eastAsia" w:ascii="仿宋_GB2312" w:hAnsi="楷体" w:eastAsia="仿宋_GB2312"/>
          <w:snapToGrid w:val="0"/>
          <w:kern w:val="0"/>
          <w:sz w:val="28"/>
          <w:szCs w:val="28"/>
        </w:rPr>
      </w:pPr>
      <w:r>
        <w:rPr>
          <w:rFonts w:hint="eastAsia" w:ascii="仿宋_GB2312" w:hAnsi="楷体" w:eastAsia="仿宋_GB2312"/>
          <w:snapToGrid w:val="0"/>
          <w:kern w:val="0"/>
          <w:sz w:val="28"/>
          <w:szCs w:val="28"/>
        </w:rPr>
        <w:t>备注：上述可比实例来源为我司评估人员的实地调查结果及我司数据库。</w:t>
      </w:r>
    </w:p>
    <w:p>
      <w:pPr>
        <w:widowControl/>
        <w:spacing w:line="360" w:lineRule="auto"/>
        <w:ind w:firstLine="674" w:firstLineChars="200"/>
        <w:rPr>
          <w:rFonts w:hint="eastAsia" w:ascii="仿宋_GB2312" w:hAnsi="楷体" w:eastAsia="仿宋_GB2312"/>
          <w:snapToGrid w:val="0"/>
          <w:kern w:val="0"/>
          <w:sz w:val="28"/>
          <w:szCs w:val="28"/>
        </w:rPr>
      </w:pPr>
      <w:r>
        <w:rPr>
          <w:rFonts w:hint="eastAsia" w:ascii="仿宋_GB2312" w:hAnsi="楷体" w:eastAsia="仿宋_GB2312"/>
          <w:snapToGrid w:val="0"/>
          <w:kern w:val="0"/>
          <w:sz w:val="28"/>
          <w:szCs w:val="28"/>
        </w:rPr>
        <w:t xml:space="preserve"> (2)、比较因素条件说明</w:t>
      </w:r>
    </w:p>
    <w:p>
      <w:pPr>
        <w:widowControl/>
        <w:spacing w:line="360" w:lineRule="auto"/>
        <w:ind w:firstLine="674" w:firstLineChars="200"/>
        <w:rPr>
          <w:color w:val="auto"/>
        </w:rPr>
      </w:pPr>
      <w:r>
        <w:rPr>
          <w:rFonts w:hint="eastAsia" w:ascii="仿宋_GB2312" w:hAnsi="楷体" w:eastAsia="仿宋_GB2312"/>
          <w:snapToGrid w:val="0"/>
          <w:kern w:val="0"/>
          <w:sz w:val="28"/>
          <w:szCs w:val="28"/>
        </w:rPr>
        <w:t>估价对象与可比实例的各影响因素条件详见下表《比较条件说明表》：</w:t>
      </w:r>
    </w:p>
    <w:p>
      <w:pPr>
        <w:snapToGrid w:val="0"/>
        <w:spacing w:line="360" w:lineRule="auto"/>
        <w:jc w:val="center"/>
        <w:rPr>
          <w:rFonts w:ascii="仿宋_GB2312" w:hAnsi="宋体" w:eastAsia="仿宋_GB2312" w:cs="宋体"/>
          <w:b/>
          <w:sz w:val="28"/>
          <w:szCs w:val="28"/>
        </w:rPr>
      </w:pPr>
      <w:r>
        <w:rPr>
          <w:rFonts w:hint="eastAsia" w:ascii="仿宋_GB2312" w:hAnsi="宋体" w:eastAsia="仿宋_GB2312" w:cs="宋体"/>
          <w:b/>
          <w:sz w:val="28"/>
          <w:szCs w:val="28"/>
        </w:rPr>
        <w:t>比较条件说明表</w:t>
      </w:r>
    </w:p>
    <w:tbl>
      <w:tblPr>
        <w:tblStyle w:val="45"/>
        <w:tblW w:w="5000" w:type="pct"/>
        <w:tblInd w:w="0" w:type="dxa"/>
        <w:tblLayout w:type="autofit"/>
        <w:tblCellMar>
          <w:top w:w="0" w:type="dxa"/>
          <w:left w:w="108" w:type="dxa"/>
          <w:bottom w:w="0" w:type="dxa"/>
          <w:right w:w="108" w:type="dxa"/>
        </w:tblCellMar>
      </w:tblPr>
      <w:tblGrid>
        <w:gridCol w:w="566"/>
        <w:gridCol w:w="2283"/>
        <w:gridCol w:w="1778"/>
        <w:gridCol w:w="1778"/>
        <w:gridCol w:w="1779"/>
        <w:gridCol w:w="1779"/>
      </w:tblGrid>
      <w:tr>
        <w:tblPrEx>
          <w:tblCellMar>
            <w:top w:w="0" w:type="dxa"/>
            <w:left w:w="108" w:type="dxa"/>
            <w:bottom w:w="0" w:type="dxa"/>
            <w:right w:w="108" w:type="dxa"/>
          </w:tblCellMar>
        </w:tblPrEx>
        <w:trPr>
          <w:trHeight w:val="285" w:hRule="atLeast"/>
        </w:trPr>
        <w:tc>
          <w:tcPr>
            <w:tcW w:w="142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比较项目</w:t>
            </w:r>
          </w:p>
        </w:tc>
        <w:tc>
          <w:tcPr>
            <w:tcW w:w="89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估价对象</w:t>
            </w:r>
          </w:p>
        </w:tc>
        <w:tc>
          <w:tcPr>
            <w:tcW w:w="89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可比实例A</w:t>
            </w:r>
          </w:p>
        </w:tc>
        <w:tc>
          <w:tcPr>
            <w:tcW w:w="89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可比实例B</w:t>
            </w:r>
          </w:p>
        </w:tc>
        <w:tc>
          <w:tcPr>
            <w:tcW w:w="89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可比实例C</w:t>
            </w:r>
          </w:p>
        </w:tc>
      </w:tr>
      <w:tr>
        <w:tblPrEx>
          <w:tblCellMar>
            <w:top w:w="0" w:type="dxa"/>
            <w:left w:w="108" w:type="dxa"/>
            <w:bottom w:w="0" w:type="dxa"/>
            <w:right w:w="108" w:type="dxa"/>
          </w:tblCellMar>
        </w:tblPrEx>
        <w:trPr>
          <w:trHeight w:val="285" w:hRule="atLeast"/>
        </w:trPr>
        <w:tc>
          <w:tcPr>
            <w:tcW w:w="142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交易情况</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正常</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正常</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正常</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正常</w:t>
            </w:r>
          </w:p>
        </w:tc>
      </w:tr>
      <w:tr>
        <w:tblPrEx>
          <w:tblCellMar>
            <w:top w:w="0" w:type="dxa"/>
            <w:left w:w="108" w:type="dxa"/>
            <w:bottom w:w="0" w:type="dxa"/>
            <w:right w:w="108" w:type="dxa"/>
          </w:tblCellMar>
        </w:tblPrEx>
        <w:trPr>
          <w:trHeight w:val="285" w:hRule="atLeast"/>
        </w:trPr>
        <w:tc>
          <w:tcPr>
            <w:tcW w:w="142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调查日期</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2024年2月1日</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2024年2月1日</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2024年2月1日</w:t>
            </w:r>
          </w:p>
        </w:tc>
      </w:tr>
      <w:tr>
        <w:tblPrEx>
          <w:tblCellMar>
            <w:top w:w="0" w:type="dxa"/>
            <w:left w:w="108" w:type="dxa"/>
            <w:bottom w:w="0" w:type="dxa"/>
            <w:right w:w="108" w:type="dxa"/>
          </w:tblCellMar>
        </w:tblPrEx>
        <w:trPr>
          <w:trHeight w:val="285" w:hRule="atLeast"/>
        </w:trPr>
        <w:tc>
          <w:tcPr>
            <w:tcW w:w="284" w:type="pct"/>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区位因素</w:t>
            </w: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18"/>
                <w:szCs w:val="18"/>
                <w:u w:val="none"/>
                <w:lang w:val="en-US" w:eastAsia="zh-CN" w:bidi="ar"/>
              </w:rPr>
              <w:t>道路通达度</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临干道，通达度较高</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临干道，通达度较高</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临干道，通达度较高</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临干道，通达度较高</w:t>
            </w:r>
          </w:p>
        </w:tc>
      </w:tr>
      <w:tr>
        <w:tblPrEx>
          <w:tblCellMar>
            <w:top w:w="0" w:type="dxa"/>
            <w:left w:w="108" w:type="dxa"/>
            <w:bottom w:w="0" w:type="dxa"/>
            <w:right w:w="108" w:type="dxa"/>
          </w:tblCellMar>
        </w:tblPrEx>
        <w:trPr>
          <w:trHeight w:val="285"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ascii="仿宋_GB2312" w:hAnsi="仿宋_GB2312" w:eastAsia="仿宋_GB2312" w:cs="仿宋_GB2312"/>
                <w:color w:val="auto"/>
                <w:kern w:val="0"/>
                <w:sz w:val="18"/>
                <w:szCs w:val="18"/>
              </w:rPr>
            </w:pP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18"/>
                <w:szCs w:val="18"/>
                <w:u w:val="none"/>
                <w:lang w:val="en-US" w:eastAsia="zh-CN" w:bidi="ar"/>
              </w:rPr>
              <w:t>交通状况</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较方便</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较方便</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较方便</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较方便</w:t>
            </w:r>
          </w:p>
        </w:tc>
      </w:tr>
      <w:tr>
        <w:tblPrEx>
          <w:tblCellMar>
            <w:top w:w="0" w:type="dxa"/>
            <w:left w:w="108" w:type="dxa"/>
            <w:bottom w:w="0" w:type="dxa"/>
            <w:right w:w="108" w:type="dxa"/>
          </w:tblCellMar>
        </w:tblPrEx>
        <w:trPr>
          <w:trHeight w:val="285"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ascii="仿宋_GB2312" w:hAnsi="仿宋_GB2312" w:eastAsia="仿宋_GB2312" w:cs="仿宋_GB2312"/>
                <w:color w:val="auto"/>
                <w:kern w:val="0"/>
                <w:sz w:val="18"/>
                <w:szCs w:val="18"/>
              </w:rPr>
            </w:pP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18"/>
                <w:szCs w:val="18"/>
                <w:u w:val="none"/>
                <w:lang w:val="en-US" w:eastAsia="zh-CN" w:bidi="ar"/>
              </w:rPr>
              <w:t>基础设施状况</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五通一平</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五通一平</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五通一平</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五通一平</w:t>
            </w:r>
          </w:p>
        </w:tc>
      </w:tr>
      <w:tr>
        <w:tblPrEx>
          <w:tblCellMar>
            <w:top w:w="0" w:type="dxa"/>
            <w:left w:w="108" w:type="dxa"/>
            <w:bottom w:w="0" w:type="dxa"/>
            <w:right w:w="108" w:type="dxa"/>
          </w:tblCellMar>
        </w:tblPrEx>
        <w:trPr>
          <w:trHeight w:val="285"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ascii="仿宋_GB2312" w:hAnsi="仿宋_GB2312" w:eastAsia="仿宋_GB2312" w:cs="仿宋_GB2312"/>
                <w:color w:val="auto"/>
                <w:kern w:val="0"/>
                <w:sz w:val="18"/>
                <w:szCs w:val="18"/>
              </w:rPr>
            </w:pP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18"/>
                <w:szCs w:val="18"/>
                <w:u w:val="none"/>
                <w:lang w:val="en-US" w:eastAsia="zh-CN" w:bidi="ar"/>
              </w:rPr>
              <w:t>公共配套设施</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公共配套设施齐全</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公共配套设施齐全</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公共配套设施齐全</w:t>
            </w:r>
          </w:p>
        </w:tc>
        <w:tc>
          <w:tcPr>
            <w:tcW w:w="8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公共配套设施齐全</w:t>
            </w:r>
          </w:p>
        </w:tc>
      </w:tr>
      <w:tr>
        <w:tblPrEx>
          <w:tblCellMar>
            <w:top w:w="0" w:type="dxa"/>
            <w:left w:w="108" w:type="dxa"/>
            <w:bottom w:w="0" w:type="dxa"/>
            <w:right w:w="108" w:type="dxa"/>
          </w:tblCellMar>
        </w:tblPrEx>
        <w:trPr>
          <w:trHeight w:val="285"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ascii="仿宋_GB2312" w:hAnsi="仿宋_GB2312" w:eastAsia="仿宋_GB2312" w:cs="仿宋_GB2312"/>
                <w:color w:val="auto"/>
                <w:kern w:val="0"/>
                <w:sz w:val="18"/>
                <w:szCs w:val="18"/>
              </w:rPr>
            </w:pPr>
          </w:p>
        </w:tc>
        <w:tc>
          <w:tcPr>
            <w:tcW w:w="1145"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18"/>
                <w:szCs w:val="18"/>
                <w:u w:val="none"/>
                <w:lang w:val="en-US" w:eastAsia="zh-CN" w:bidi="ar"/>
              </w:rPr>
              <w:t>工业集聚度</w:t>
            </w:r>
          </w:p>
        </w:tc>
        <w:tc>
          <w:tcPr>
            <w:tcW w:w="892"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周边多工业厂房，集聚度较高</w:t>
            </w:r>
          </w:p>
        </w:tc>
        <w:tc>
          <w:tcPr>
            <w:tcW w:w="892"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周边多工业厂房，集聚度较高</w:t>
            </w:r>
          </w:p>
        </w:tc>
        <w:tc>
          <w:tcPr>
            <w:tcW w:w="892"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周边多工业厂房，集聚度一般</w:t>
            </w:r>
          </w:p>
        </w:tc>
        <w:tc>
          <w:tcPr>
            <w:tcW w:w="892"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周边多工业厂房，集聚度较高</w:t>
            </w:r>
          </w:p>
        </w:tc>
      </w:tr>
      <w:tr>
        <w:tblPrEx>
          <w:tblCellMar>
            <w:top w:w="0" w:type="dxa"/>
            <w:left w:w="108" w:type="dxa"/>
            <w:bottom w:w="0" w:type="dxa"/>
            <w:right w:w="108" w:type="dxa"/>
          </w:tblCellMar>
        </w:tblPrEx>
        <w:trPr>
          <w:trHeight w:val="285"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ascii="仿宋_GB2312" w:hAnsi="仿宋_GB2312" w:eastAsia="仿宋_GB2312" w:cs="仿宋_GB2312"/>
                <w:color w:val="auto"/>
                <w:kern w:val="0"/>
                <w:sz w:val="18"/>
                <w:szCs w:val="18"/>
              </w:rPr>
            </w:pPr>
          </w:p>
        </w:tc>
        <w:tc>
          <w:tcPr>
            <w:tcW w:w="114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18"/>
                <w:szCs w:val="18"/>
                <w:u w:val="none"/>
                <w:lang w:val="en-US" w:eastAsia="zh-CN" w:bidi="ar"/>
              </w:rPr>
              <w:t>环境优劣度</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基本无污染</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基本无污染</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基本无污染</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基本无污染</w:t>
            </w:r>
          </w:p>
        </w:tc>
      </w:tr>
      <w:tr>
        <w:tblPrEx>
          <w:tblCellMar>
            <w:top w:w="0" w:type="dxa"/>
            <w:left w:w="108" w:type="dxa"/>
            <w:bottom w:w="0" w:type="dxa"/>
            <w:right w:w="108" w:type="dxa"/>
          </w:tblCellMar>
        </w:tblPrEx>
        <w:trPr>
          <w:trHeight w:val="285" w:hRule="atLeast"/>
        </w:trPr>
        <w:tc>
          <w:tcPr>
            <w:tcW w:w="284" w:type="pct"/>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实物因素</w:t>
            </w:r>
          </w:p>
        </w:tc>
        <w:tc>
          <w:tcPr>
            <w:tcW w:w="114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临路状况</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临区间，好</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临区间，好</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临区间，好</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临干道，较好</w:t>
            </w:r>
          </w:p>
        </w:tc>
      </w:tr>
      <w:tr>
        <w:tblPrEx>
          <w:tblCellMar>
            <w:top w:w="0" w:type="dxa"/>
            <w:left w:w="108" w:type="dxa"/>
            <w:bottom w:w="0" w:type="dxa"/>
            <w:right w:w="108" w:type="dxa"/>
          </w:tblCellMar>
        </w:tblPrEx>
        <w:trPr>
          <w:trHeight w:val="285"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ascii="仿宋_GB2312" w:hAnsi="仿宋_GB2312" w:eastAsia="仿宋_GB2312" w:cs="仿宋_GB2312"/>
                <w:color w:val="auto"/>
                <w:kern w:val="0"/>
                <w:sz w:val="18"/>
                <w:szCs w:val="18"/>
              </w:rPr>
            </w:pPr>
          </w:p>
        </w:tc>
        <w:tc>
          <w:tcPr>
            <w:tcW w:w="114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完损程度</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较好</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较好</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较好</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较好</w:t>
            </w:r>
          </w:p>
        </w:tc>
      </w:tr>
      <w:tr>
        <w:tblPrEx>
          <w:tblCellMar>
            <w:top w:w="0" w:type="dxa"/>
            <w:left w:w="108" w:type="dxa"/>
            <w:bottom w:w="0" w:type="dxa"/>
            <w:right w:w="108" w:type="dxa"/>
          </w:tblCellMar>
        </w:tblPrEx>
        <w:trPr>
          <w:trHeight w:val="285"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ascii="仿宋_GB2312" w:hAnsi="仿宋_GB2312" w:eastAsia="仿宋_GB2312" w:cs="仿宋_GB2312"/>
                <w:color w:val="auto"/>
                <w:kern w:val="0"/>
                <w:sz w:val="18"/>
                <w:szCs w:val="18"/>
              </w:rPr>
            </w:pPr>
          </w:p>
        </w:tc>
        <w:tc>
          <w:tcPr>
            <w:tcW w:w="114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面积大小</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适中</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较小</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适中</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适中</w:t>
            </w:r>
          </w:p>
        </w:tc>
      </w:tr>
      <w:tr>
        <w:tblPrEx>
          <w:tblCellMar>
            <w:top w:w="0" w:type="dxa"/>
            <w:left w:w="108" w:type="dxa"/>
            <w:bottom w:w="0" w:type="dxa"/>
            <w:right w:w="108" w:type="dxa"/>
          </w:tblCellMar>
        </w:tblPrEx>
        <w:trPr>
          <w:trHeight w:val="285"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ascii="仿宋_GB2312" w:hAnsi="仿宋_GB2312" w:eastAsia="仿宋_GB2312" w:cs="仿宋_GB2312"/>
                <w:color w:val="auto"/>
                <w:kern w:val="0"/>
                <w:sz w:val="18"/>
                <w:szCs w:val="18"/>
              </w:rPr>
            </w:pPr>
          </w:p>
        </w:tc>
        <w:tc>
          <w:tcPr>
            <w:tcW w:w="114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设备设施</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较齐全</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较齐全</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较齐全</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较齐全</w:t>
            </w:r>
          </w:p>
        </w:tc>
      </w:tr>
      <w:tr>
        <w:tblPrEx>
          <w:tblCellMar>
            <w:top w:w="0" w:type="dxa"/>
            <w:left w:w="108" w:type="dxa"/>
            <w:bottom w:w="0" w:type="dxa"/>
            <w:right w:w="108" w:type="dxa"/>
          </w:tblCellMar>
        </w:tblPrEx>
        <w:trPr>
          <w:trHeight w:val="285"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ascii="仿宋_GB2312" w:hAnsi="仿宋_GB2312" w:eastAsia="仿宋_GB2312" w:cs="仿宋_GB2312"/>
                <w:color w:val="auto"/>
                <w:kern w:val="0"/>
                <w:sz w:val="18"/>
                <w:szCs w:val="18"/>
              </w:rPr>
            </w:pPr>
          </w:p>
        </w:tc>
        <w:tc>
          <w:tcPr>
            <w:tcW w:w="114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室内装修</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普通</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普通</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普通</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普通</w:t>
            </w:r>
          </w:p>
        </w:tc>
      </w:tr>
      <w:tr>
        <w:tblPrEx>
          <w:tblCellMar>
            <w:top w:w="0" w:type="dxa"/>
            <w:left w:w="108" w:type="dxa"/>
            <w:bottom w:w="0" w:type="dxa"/>
            <w:right w:w="108" w:type="dxa"/>
          </w:tblCellMar>
        </w:tblPrEx>
        <w:trPr>
          <w:trHeight w:val="285"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ascii="仿宋_GB2312" w:hAnsi="仿宋_GB2312" w:eastAsia="仿宋_GB2312" w:cs="仿宋_GB2312"/>
                <w:color w:val="auto"/>
                <w:kern w:val="0"/>
                <w:sz w:val="18"/>
                <w:szCs w:val="18"/>
              </w:rPr>
            </w:pPr>
          </w:p>
        </w:tc>
        <w:tc>
          <w:tcPr>
            <w:tcW w:w="114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物业配套管理</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较好</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较好</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较好</w:t>
            </w:r>
          </w:p>
        </w:tc>
        <w:tc>
          <w:tcPr>
            <w:tcW w:w="89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较好</w:t>
            </w:r>
          </w:p>
        </w:tc>
      </w:tr>
    </w:tbl>
    <w:p>
      <w:pPr>
        <w:widowControl/>
        <w:spacing w:line="360" w:lineRule="auto"/>
        <w:ind w:firstLine="674" w:firstLineChars="200"/>
        <w:rPr>
          <w:rFonts w:hint="eastAsia" w:ascii="仿宋_GB2312" w:hAnsi="楷体" w:eastAsia="仿宋_GB2312" w:cs="Times New Roman"/>
          <w:snapToGrid w:val="0"/>
          <w:kern w:val="0"/>
          <w:sz w:val="28"/>
          <w:szCs w:val="28"/>
        </w:rPr>
      </w:pPr>
      <w:r>
        <w:rPr>
          <w:rFonts w:hint="eastAsia" w:ascii="仿宋_GB2312" w:hAnsi="楷体" w:eastAsia="仿宋_GB2312" w:cs="Times New Roman"/>
          <w:snapToGrid w:val="0"/>
          <w:kern w:val="0"/>
          <w:sz w:val="28"/>
          <w:szCs w:val="28"/>
        </w:rPr>
        <w:t xml:space="preserve"> (3)、调整系数确定：</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①交易情况调整系数的确定</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估价对象与可比实例A、B、C均为正常交易，无需进行交易情况修正，即三个交易实例的交易情况调整系数均为100/100。</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②市场状况调整系数的确定</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三个可比实例的交易时间与估价时点较接近，至估价时点市场状况变化较小，无需进行市场状况修正。确定交易实例A、B、C的市场状况条件调整系数均为100/100。</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③区位状况调整系数的确定</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道路通达度：根据估价对象所处地段，分为</w:t>
      </w:r>
      <w:r>
        <w:rPr>
          <w:rFonts w:hint="eastAsia" w:ascii="仿宋_GB2312" w:eastAsia="仿宋_GB2312"/>
          <w:snapToGrid w:val="0"/>
          <w:kern w:val="0"/>
          <w:sz w:val="28"/>
          <w:szCs w:val="28"/>
          <w:lang w:val="en-US" w:eastAsia="zh-CN"/>
        </w:rPr>
        <w:t>高、</w:t>
      </w:r>
      <w:r>
        <w:rPr>
          <w:rFonts w:hint="eastAsia" w:ascii="仿宋_GB2312" w:eastAsia="仿宋_GB2312"/>
          <w:snapToGrid w:val="0"/>
          <w:kern w:val="0"/>
          <w:sz w:val="28"/>
          <w:szCs w:val="28"/>
        </w:rPr>
        <w:t>较</w:t>
      </w:r>
      <w:r>
        <w:rPr>
          <w:rFonts w:hint="eastAsia" w:ascii="仿宋_GB2312" w:eastAsia="仿宋_GB2312"/>
          <w:snapToGrid w:val="0"/>
          <w:kern w:val="0"/>
          <w:sz w:val="28"/>
          <w:szCs w:val="28"/>
          <w:lang w:val="en-US" w:eastAsia="zh-CN"/>
        </w:rPr>
        <w:t>高</w:t>
      </w:r>
      <w:r>
        <w:rPr>
          <w:rFonts w:hint="eastAsia" w:ascii="仿宋_GB2312" w:eastAsia="仿宋_GB2312"/>
          <w:snapToGrid w:val="0"/>
          <w:kern w:val="0"/>
          <w:sz w:val="28"/>
          <w:szCs w:val="28"/>
        </w:rPr>
        <w:t>、一般、较差</w:t>
      </w:r>
      <w:r>
        <w:rPr>
          <w:rFonts w:hint="eastAsia" w:ascii="仿宋_GB2312" w:eastAsia="仿宋_GB2312"/>
          <w:snapToGrid w:val="0"/>
          <w:kern w:val="0"/>
          <w:sz w:val="28"/>
          <w:szCs w:val="28"/>
          <w:lang w:eastAsia="zh-CN"/>
        </w:rPr>
        <w:t>、</w:t>
      </w:r>
      <w:r>
        <w:rPr>
          <w:rFonts w:hint="eastAsia" w:ascii="仿宋_GB2312" w:eastAsia="仿宋_GB2312"/>
          <w:snapToGrid w:val="0"/>
          <w:kern w:val="0"/>
          <w:sz w:val="28"/>
          <w:szCs w:val="28"/>
          <w:lang w:val="en-US" w:eastAsia="zh-CN"/>
        </w:rPr>
        <w:t>差五</w:t>
      </w:r>
      <w:r>
        <w:rPr>
          <w:rFonts w:hint="eastAsia" w:ascii="仿宋_GB2312" w:eastAsia="仿宋_GB2312"/>
          <w:snapToGrid w:val="0"/>
          <w:kern w:val="0"/>
          <w:sz w:val="28"/>
          <w:szCs w:val="28"/>
        </w:rPr>
        <w:t>个等级，以估价对象为100，每增加或减少一个级别，指数向上或向下修正2。</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交通状况：根据估价对象所在区域路网密度、路面宽度、道路质量、及道路畅通程度、公交路线多少，距离车站、港口码头和口岸的距离等情况，分为</w:t>
      </w:r>
      <w:r>
        <w:rPr>
          <w:rFonts w:hint="eastAsia" w:ascii="仿宋_GB2312" w:eastAsia="仿宋_GB2312"/>
          <w:snapToGrid w:val="0"/>
          <w:kern w:val="0"/>
          <w:sz w:val="28"/>
          <w:szCs w:val="28"/>
          <w:lang w:val="en-US" w:eastAsia="zh-CN"/>
        </w:rPr>
        <w:t>近、较近、一般、较远、远五</w:t>
      </w:r>
      <w:r>
        <w:rPr>
          <w:rFonts w:hint="eastAsia" w:ascii="仿宋_GB2312" w:eastAsia="仿宋_GB2312"/>
          <w:snapToGrid w:val="0"/>
          <w:kern w:val="0"/>
          <w:sz w:val="28"/>
          <w:szCs w:val="28"/>
        </w:rPr>
        <w:t>个等级，以估价对象为100，每上升或下降一个等级，指数向上或向下修正2。</w:t>
      </w:r>
    </w:p>
    <w:p>
      <w:pPr>
        <w:tabs>
          <w:tab w:val="left" w:pos="0"/>
        </w:tabs>
        <w:adjustRightInd w:val="0"/>
        <w:snapToGrid w:val="0"/>
        <w:spacing w:line="360" w:lineRule="auto"/>
        <w:ind w:firstLine="480"/>
        <w:rPr>
          <w:rFonts w:hint="eastAsia" w:ascii="仿宋_GB2312" w:eastAsia="仿宋_GB2312"/>
          <w:snapToGrid w:val="0"/>
          <w:kern w:val="0"/>
          <w:sz w:val="28"/>
          <w:szCs w:val="28"/>
        </w:rPr>
      </w:pPr>
      <w:r>
        <w:rPr>
          <w:rFonts w:hint="eastAsia" w:ascii="仿宋_GB2312" w:eastAsia="仿宋_GB2312"/>
          <w:snapToGrid w:val="0"/>
          <w:kern w:val="0"/>
          <w:sz w:val="28"/>
          <w:szCs w:val="28"/>
        </w:rPr>
        <w:t>基础设施状况：包括基础设施和公共服务设施，分为</w:t>
      </w:r>
      <w:r>
        <w:rPr>
          <w:rFonts w:hint="eastAsia" w:ascii="仿宋_GB2312" w:eastAsia="仿宋_GB2312"/>
          <w:snapToGrid w:val="0"/>
          <w:kern w:val="0"/>
          <w:sz w:val="28"/>
          <w:szCs w:val="28"/>
          <w:lang w:val="en-US" w:eastAsia="zh-CN"/>
        </w:rPr>
        <w:t>好、较好</w:t>
      </w:r>
      <w:r>
        <w:rPr>
          <w:rFonts w:hint="eastAsia" w:ascii="仿宋_GB2312" w:eastAsia="仿宋_GB2312"/>
          <w:snapToGrid w:val="0"/>
          <w:kern w:val="0"/>
          <w:sz w:val="28"/>
          <w:szCs w:val="28"/>
        </w:rPr>
        <w:t>、一般、</w:t>
      </w:r>
      <w:r>
        <w:rPr>
          <w:rFonts w:hint="eastAsia" w:ascii="仿宋_GB2312" w:eastAsia="仿宋_GB2312"/>
          <w:snapToGrid w:val="0"/>
          <w:kern w:val="0"/>
          <w:sz w:val="28"/>
          <w:szCs w:val="28"/>
          <w:lang w:val="en-US" w:eastAsia="zh-CN"/>
        </w:rPr>
        <w:t>较差、差五</w:t>
      </w:r>
      <w:r>
        <w:rPr>
          <w:rFonts w:hint="eastAsia" w:ascii="仿宋_GB2312" w:eastAsia="仿宋_GB2312"/>
          <w:snapToGrid w:val="0"/>
          <w:kern w:val="0"/>
          <w:sz w:val="28"/>
          <w:szCs w:val="28"/>
        </w:rPr>
        <w:t>个等级，以估价对象为100，每上升或下降一个等级，指数向上或向下修正2。</w:t>
      </w:r>
    </w:p>
    <w:p>
      <w:pPr>
        <w:tabs>
          <w:tab w:val="left" w:pos="0"/>
        </w:tabs>
        <w:adjustRightInd w:val="0"/>
        <w:snapToGrid w:val="0"/>
        <w:spacing w:line="360" w:lineRule="auto"/>
        <w:ind w:firstLine="480"/>
        <w:rPr>
          <w:rFonts w:hint="eastAsia" w:ascii="仿宋_GB2312" w:eastAsia="仿宋_GB2312"/>
          <w:snapToGrid w:val="0"/>
          <w:kern w:val="0"/>
          <w:sz w:val="28"/>
          <w:szCs w:val="28"/>
        </w:rPr>
      </w:pPr>
      <w:r>
        <w:rPr>
          <w:rFonts w:hint="eastAsia" w:ascii="仿宋_GB2312" w:eastAsia="仿宋_GB2312"/>
          <w:snapToGrid w:val="0"/>
          <w:kern w:val="0"/>
          <w:sz w:val="28"/>
          <w:szCs w:val="28"/>
          <w:lang w:eastAsia="zh-CN"/>
        </w:rPr>
        <w:t>公共配套设施：分为齐全、较齐全、一般三个等级，</w:t>
      </w:r>
      <w:r>
        <w:rPr>
          <w:rFonts w:hint="eastAsia" w:ascii="仿宋_GB2312" w:eastAsia="仿宋_GB2312"/>
          <w:snapToGrid w:val="0"/>
          <w:kern w:val="0"/>
          <w:sz w:val="28"/>
          <w:szCs w:val="28"/>
        </w:rPr>
        <w:t>以估价对象为100，每上升或下降一个等级，指数向上或向下修正2。</w:t>
      </w:r>
    </w:p>
    <w:p>
      <w:pPr>
        <w:tabs>
          <w:tab w:val="left" w:pos="0"/>
        </w:tabs>
        <w:adjustRightInd w:val="0"/>
        <w:snapToGrid w:val="0"/>
        <w:spacing w:line="360" w:lineRule="auto"/>
        <w:ind w:firstLine="480"/>
        <w:rPr>
          <w:rFonts w:ascii="仿宋_GB2312" w:eastAsia="仿宋_GB2312"/>
          <w:snapToGrid w:val="0"/>
          <w:color w:val="auto"/>
          <w:kern w:val="0"/>
          <w:sz w:val="28"/>
          <w:szCs w:val="28"/>
        </w:rPr>
      </w:pPr>
      <w:r>
        <w:rPr>
          <w:rFonts w:hint="eastAsia" w:ascii="仿宋_GB2312" w:eastAsia="仿宋_GB2312"/>
          <w:snapToGrid w:val="0"/>
          <w:color w:val="auto"/>
          <w:kern w:val="0"/>
          <w:sz w:val="28"/>
          <w:szCs w:val="28"/>
        </w:rPr>
        <w:t>工业集聚度：根据估价对象所在区域的</w:t>
      </w:r>
      <w:r>
        <w:rPr>
          <w:rFonts w:hint="eastAsia" w:ascii="仿宋_GB2312" w:eastAsia="仿宋_GB2312"/>
          <w:snapToGrid w:val="0"/>
          <w:color w:val="auto"/>
          <w:kern w:val="0"/>
          <w:sz w:val="28"/>
          <w:szCs w:val="28"/>
          <w:lang w:eastAsia="zh-CN"/>
        </w:rPr>
        <w:t>工业聚集度</w:t>
      </w:r>
      <w:r>
        <w:rPr>
          <w:rFonts w:hint="eastAsia" w:ascii="仿宋_GB2312" w:eastAsia="仿宋_GB2312"/>
          <w:snapToGrid w:val="0"/>
          <w:color w:val="auto"/>
          <w:kern w:val="0"/>
          <w:sz w:val="28"/>
          <w:szCs w:val="28"/>
        </w:rPr>
        <w:t>，分为</w:t>
      </w:r>
      <w:r>
        <w:rPr>
          <w:rFonts w:hint="eastAsia" w:ascii="仿宋_GB2312" w:eastAsia="仿宋_GB2312"/>
          <w:snapToGrid w:val="0"/>
          <w:color w:val="auto"/>
          <w:kern w:val="0"/>
          <w:sz w:val="28"/>
          <w:szCs w:val="28"/>
          <w:lang w:eastAsia="zh-CN"/>
        </w:rPr>
        <w:t>高</w:t>
      </w:r>
      <w:r>
        <w:rPr>
          <w:rFonts w:hint="eastAsia" w:ascii="仿宋_GB2312" w:eastAsia="仿宋_GB2312"/>
          <w:snapToGrid w:val="0"/>
          <w:color w:val="auto"/>
          <w:kern w:val="0"/>
          <w:sz w:val="28"/>
          <w:szCs w:val="28"/>
          <w:lang w:val="en-US" w:eastAsia="zh-CN"/>
        </w:rPr>
        <w:t>、</w:t>
      </w:r>
      <w:r>
        <w:rPr>
          <w:rFonts w:hint="eastAsia" w:ascii="仿宋_GB2312" w:eastAsia="仿宋_GB2312"/>
          <w:snapToGrid w:val="0"/>
          <w:color w:val="auto"/>
          <w:kern w:val="0"/>
          <w:sz w:val="28"/>
          <w:szCs w:val="28"/>
        </w:rPr>
        <w:t>较</w:t>
      </w:r>
      <w:r>
        <w:rPr>
          <w:rFonts w:hint="eastAsia" w:ascii="仿宋_GB2312" w:eastAsia="仿宋_GB2312"/>
          <w:snapToGrid w:val="0"/>
          <w:color w:val="auto"/>
          <w:kern w:val="0"/>
          <w:sz w:val="28"/>
          <w:szCs w:val="28"/>
          <w:lang w:eastAsia="zh-CN"/>
        </w:rPr>
        <w:t>高</w:t>
      </w:r>
      <w:r>
        <w:rPr>
          <w:rFonts w:hint="eastAsia" w:ascii="仿宋_GB2312" w:eastAsia="仿宋_GB2312"/>
          <w:snapToGrid w:val="0"/>
          <w:color w:val="auto"/>
          <w:kern w:val="0"/>
          <w:sz w:val="28"/>
          <w:szCs w:val="28"/>
        </w:rPr>
        <w:t>、一般、较差</w:t>
      </w:r>
      <w:r>
        <w:rPr>
          <w:rFonts w:hint="eastAsia" w:ascii="仿宋_GB2312" w:eastAsia="仿宋_GB2312"/>
          <w:snapToGrid w:val="0"/>
          <w:color w:val="auto"/>
          <w:kern w:val="0"/>
          <w:sz w:val="28"/>
          <w:szCs w:val="28"/>
          <w:lang w:eastAsia="zh-CN"/>
        </w:rPr>
        <w:t>、</w:t>
      </w:r>
      <w:r>
        <w:rPr>
          <w:rFonts w:hint="eastAsia" w:ascii="仿宋_GB2312" w:eastAsia="仿宋_GB2312"/>
          <w:snapToGrid w:val="0"/>
          <w:color w:val="auto"/>
          <w:kern w:val="0"/>
          <w:sz w:val="28"/>
          <w:szCs w:val="28"/>
          <w:lang w:val="en-US" w:eastAsia="zh-CN"/>
        </w:rPr>
        <w:t>差五</w:t>
      </w:r>
      <w:r>
        <w:rPr>
          <w:rFonts w:hint="eastAsia" w:ascii="仿宋_GB2312" w:eastAsia="仿宋_GB2312"/>
          <w:snapToGrid w:val="0"/>
          <w:color w:val="auto"/>
          <w:kern w:val="0"/>
          <w:sz w:val="28"/>
          <w:szCs w:val="28"/>
        </w:rPr>
        <w:t>个等级，以估价对象为100，每上升或下降一个等级，指数向上或向下修正</w:t>
      </w:r>
      <w:r>
        <w:rPr>
          <w:rFonts w:hint="eastAsia" w:ascii="仿宋_GB2312" w:eastAsia="仿宋_GB2312"/>
          <w:snapToGrid w:val="0"/>
          <w:color w:val="auto"/>
          <w:kern w:val="0"/>
          <w:sz w:val="28"/>
          <w:szCs w:val="28"/>
          <w:lang w:val="en-US" w:eastAsia="zh-CN"/>
        </w:rPr>
        <w:t>5</w:t>
      </w:r>
      <w:r>
        <w:rPr>
          <w:rFonts w:hint="eastAsia" w:ascii="仿宋_GB2312" w:eastAsia="仿宋_GB2312"/>
          <w:snapToGrid w:val="0"/>
          <w:color w:val="auto"/>
          <w:kern w:val="0"/>
          <w:sz w:val="28"/>
          <w:szCs w:val="28"/>
        </w:rPr>
        <w:t>。</w:t>
      </w:r>
    </w:p>
    <w:p>
      <w:pPr>
        <w:tabs>
          <w:tab w:val="left" w:pos="0"/>
        </w:tabs>
        <w:adjustRightInd w:val="0"/>
        <w:snapToGrid w:val="0"/>
        <w:spacing w:line="360" w:lineRule="auto"/>
        <w:ind w:firstLine="480"/>
        <w:rPr>
          <w:rFonts w:ascii="仿宋_GB2312" w:eastAsia="仿宋_GB2312"/>
          <w:snapToGrid w:val="0"/>
          <w:kern w:val="0"/>
          <w:sz w:val="28"/>
          <w:szCs w:val="28"/>
          <w:highlight w:val="none"/>
        </w:rPr>
      </w:pPr>
      <w:r>
        <w:rPr>
          <w:rFonts w:hint="eastAsia" w:ascii="仿宋_GB2312" w:eastAsia="仿宋_GB2312"/>
          <w:snapToGrid w:val="0"/>
          <w:kern w:val="0"/>
          <w:sz w:val="28"/>
          <w:szCs w:val="28"/>
          <w:highlight w:val="none"/>
        </w:rPr>
        <w:t>环境优劣度：根据项目位置所在区域的自然资源、空气质量、噪声、污染情况，分为优、一般、劣三个等级，以估价对象为100，每上升或下降一个等级，指数向上或向下修正2。</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lang w:val="en-US" w:eastAsia="zh-CN"/>
        </w:rPr>
        <w:t>④</w:t>
      </w:r>
      <w:r>
        <w:rPr>
          <w:rFonts w:hint="eastAsia" w:ascii="仿宋_GB2312" w:eastAsia="仿宋_GB2312"/>
          <w:snapToGrid w:val="0"/>
          <w:kern w:val="0"/>
          <w:sz w:val="28"/>
          <w:szCs w:val="28"/>
        </w:rPr>
        <w:t>实物状况调整系数的确定</w:t>
      </w:r>
    </w:p>
    <w:p>
      <w:pPr>
        <w:tabs>
          <w:tab w:val="left" w:pos="0"/>
        </w:tabs>
        <w:adjustRightInd w:val="0"/>
        <w:snapToGrid w:val="0"/>
        <w:spacing w:line="360" w:lineRule="auto"/>
        <w:ind w:firstLine="480"/>
        <w:rPr>
          <w:rFonts w:ascii="仿宋_GB2312" w:eastAsia="仿宋_GB2312"/>
          <w:snapToGrid w:val="0"/>
          <w:color w:val="auto"/>
          <w:kern w:val="0"/>
          <w:sz w:val="28"/>
          <w:szCs w:val="28"/>
        </w:rPr>
      </w:pPr>
      <w:r>
        <w:rPr>
          <w:rFonts w:hint="eastAsia" w:ascii="仿宋_GB2312" w:eastAsia="仿宋_GB2312"/>
          <w:snapToGrid w:val="0"/>
          <w:color w:val="auto"/>
          <w:kern w:val="0"/>
          <w:sz w:val="28"/>
          <w:szCs w:val="28"/>
        </w:rPr>
        <w:t>临路状况：分为临路、不临路二个等级，以估价对象为100，每上升或下降一个等级，指数向上或向下修正2。</w:t>
      </w:r>
    </w:p>
    <w:p>
      <w:pPr>
        <w:tabs>
          <w:tab w:val="left" w:pos="0"/>
        </w:tabs>
        <w:adjustRightInd w:val="0"/>
        <w:snapToGrid w:val="0"/>
        <w:spacing w:line="360" w:lineRule="auto"/>
        <w:ind w:firstLine="480"/>
        <w:rPr>
          <w:rFonts w:ascii="仿宋_GB2312" w:eastAsia="仿宋_GB2312"/>
          <w:snapToGrid w:val="0"/>
          <w:color w:val="auto"/>
          <w:kern w:val="0"/>
          <w:sz w:val="28"/>
          <w:szCs w:val="28"/>
        </w:rPr>
      </w:pPr>
      <w:r>
        <w:rPr>
          <w:rFonts w:hint="eastAsia" w:ascii="仿宋_GB2312" w:eastAsia="仿宋_GB2312"/>
          <w:snapToGrid w:val="0"/>
          <w:color w:val="auto"/>
          <w:kern w:val="0"/>
          <w:sz w:val="28"/>
          <w:szCs w:val="28"/>
        </w:rPr>
        <w:t>外观新旧程度：分</w:t>
      </w:r>
      <w:r>
        <w:rPr>
          <w:rFonts w:hint="eastAsia" w:ascii="仿宋_GB2312" w:eastAsia="仿宋_GB2312"/>
          <w:snapToGrid w:val="0"/>
          <w:color w:val="auto"/>
          <w:kern w:val="0"/>
          <w:sz w:val="28"/>
          <w:szCs w:val="28"/>
          <w:lang w:val="en-US" w:eastAsia="zh-CN"/>
        </w:rPr>
        <w:t>好</w:t>
      </w:r>
      <w:r>
        <w:rPr>
          <w:rFonts w:hint="eastAsia" w:ascii="仿宋_GB2312" w:eastAsia="仿宋_GB2312"/>
          <w:snapToGrid w:val="0"/>
          <w:color w:val="auto"/>
          <w:kern w:val="0"/>
          <w:sz w:val="28"/>
          <w:szCs w:val="28"/>
        </w:rPr>
        <w:t>、较</w:t>
      </w:r>
      <w:r>
        <w:rPr>
          <w:rFonts w:hint="eastAsia" w:ascii="仿宋_GB2312" w:eastAsia="仿宋_GB2312"/>
          <w:snapToGrid w:val="0"/>
          <w:color w:val="auto"/>
          <w:kern w:val="0"/>
          <w:sz w:val="28"/>
          <w:szCs w:val="28"/>
          <w:lang w:val="en-US" w:eastAsia="zh-CN"/>
        </w:rPr>
        <w:t>好</w:t>
      </w:r>
      <w:r>
        <w:rPr>
          <w:rFonts w:hint="eastAsia" w:ascii="仿宋_GB2312" w:eastAsia="仿宋_GB2312"/>
          <w:snapToGrid w:val="0"/>
          <w:color w:val="auto"/>
          <w:kern w:val="0"/>
          <w:sz w:val="28"/>
          <w:szCs w:val="28"/>
        </w:rPr>
        <w:t>、一般、较</w:t>
      </w:r>
      <w:r>
        <w:rPr>
          <w:rFonts w:hint="eastAsia" w:ascii="仿宋_GB2312" w:eastAsia="仿宋_GB2312"/>
          <w:snapToGrid w:val="0"/>
          <w:color w:val="auto"/>
          <w:kern w:val="0"/>
          <w:sz w:val="28"/>
          <w:szCs w:val="28"/>
          <w:lang w:val="en-US" w:eastAsia="zh-CN"/>
        </w:rPr>
        <w:t>差</w:t>
      </w:r>
      <w:r>
        <w:rPr>
          <w:rFonts w:hint="eastAsia" w:ascii="仿宋_GB2312" w:eastAsia="仿宋_GB2312"/>
          <w:snapToGrid w:val="0"/>
          <w:color w:val="auto"/>
          <w:kern w:val="0"/>
          <w:sz w:val="28"/>
          <w:szCs w:val="28"/>
        </w:rPr>
        <w:t>、</w:t>
      </w:r>
      <w:r>
        <w:rPr>
          <w:rFonts w:hint="eastAsia" w:ascii="仿宋_GB2312" w:eastAsia="仿宋_GB2312"/>
          <w:snapToGrid w:val="0"/>
          <w:color w:val="auto"/>
          <w:kern w:val="0"/>
          <w:sz w:val="28"/>
          <w:szCs w:val="28"/>
          <w:lang w:val="en-US" w:eastAsia="zh-CN"/>
        </w:rPr>
        <w:t>差</w:t>
      </w:r>
      <w:r>
        <w:rPr>
          <w:rFonts w:hint="eastAsia" w:ascii="仿宋_GB2312" w:eastAsia="仿宋_GB2312"/>
          <w:snapToGrid w:val="0"/>
          <w:color w:val="auto"/>
          <w:kern w:val="0"/>
          <w:sz w:val="28"/>
          <w:szCs w:val="28"/>
        </w:rPr>
        <w:t>五个档次，以估价对象为100，每上升或下降一个等级，指数向上或向下修正</w:t>
      </w:r>
      <w:r>
        <w:rPr>
          <w:rFonts w:hint="eastAsia" w:ascii="仿宋_GB2312" w:eastAsia="仿宋_GB2312"/>
          <w:snapToGrid w:val="0"/>
          <w:color w:val="auto"/>
          <w:kern w:val="0"/>
          <w:sz w:val="28"/>
          <w:szCs w:val="28"/>
          <w:lang w:val="en-US" w:eastAsia="zh-CN"/>
        </w:rPr>
        <w:t>4</w:t>
      </w:r>
      <w:r>
        <w:rPr>
          <w:rFonts w:hint="eastAsia" w:ascii="仿宋_GB2312" w:eastAsia="仿宋_GB2312"/>
          <w:snapToGrid w:val="0"/>
          <w:color w:val="auto"/>
          <w:kern w:val="0"/>
          <w:sz w:val="28"/>
          <w:szCs w:val="28"/>
        </w:rPr>
        <w:t>。</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color w:val="auto"/>
          <w:kern w:val="0"/>
          <w:sz w:val="28"/>
          <w:szCs w:val="28"/>
        </w:rPr>
        <w:t>层高：根据实际情况，以估价对象为100，层高分为3米、3.5米、4米、4.5</w:t>
      </w:r>
      <w:r>
        <w:rPr>
          <w:rFonts w:hint="eastAsia" w:ascii="仿宋_GB2312" w:eastAsia="仿宋_GB2312"/>
          <w:snapToGrid w:val="0"/>
          <w:kern w:val="0"/>
          <w:sz w:val="28"/>
          <w:szCs w:val="28"/>
        </w:rPr>
        <w:t>米、5米、5.5米六个等级，每上升或下降一个等级，指数向上或向下修正</w:t>
      </w:r>
      <w:r>
        <w:rPr>
          <w:rFonts w:hint="eastAsia" w:ascii="仿宋_GB2312" w:eastAsia="仿宋_GB2312"/>
          <w:snapToGrid w:val="0"/>
          <w:kern w:val="0"/>
          <w:sz w:val="28"/>
          <w:szCs w:val="28"/>
          <w:lang w:val="en-US" w:eastAsia="zh-CN"/>
        </w:rPr>
        <w:t>2</w:t>
      </w:r>
      <w:r>
        <w:rPr>
          <w:rFonts w:hint="eastAsia" w:ascii="仿宋_GB2312" w:eastAsia="仿宋_GB2312"/>
          <w:snapToGrid w:val="0"/>
          <w:kern w:val="0"/>
          <w:sz w:val="28"/>
          <w:szCs w:val="28"/>
        </w:rPr>
        <w:t>。</w:t>
      </w:r>
    </w:p>
    <w:p>
      <w:pPr>
        <w:tabs>
          <w:tab w:val="left" w:pos="0"/>
        </w:tabs>
        <w:adjustRightInd w:val="0"/>
        <w:snapToGrid w:val="0"/>
        <w:spacing w:line="360" w:lineRule="auto"/>
        <w:ind w:firstLine="480"/>
        <w:rPr>
          <w:rFonts w:hint="eastAsia" w:ascii="仿宋_GB2312" w:eastAsia="仿宋_GB2312"/>
          <w:snapToGrid w:val="0"/>
          <w:kern w:val="0"/>
          <w:sz w:val="28"/>
          <w:szCs w:val="28"/>
        </w:rPr>
      </w:pPr>
      <w:r>
        <w:rPr>
          <w:rFonts w:hint="eastAsia" w:ascii="仿宋_GB2312" w:eastAsia="仿宋_GB2312"/>
          <w:snapToGrid w:val="0"/>
          <w:kern w:val="0"/>
          <w:sz w:val="28"/>
          <w:szCs w:val="28"/>
        </w:rPr>
        <w:t>完损程度：分完好房、基本完好房、一般损坏房、严重损坏房四个档次，以估价对象为100，每上升或下降一个等级，指数向上或向下修正</w:t>
      </w:r>
      <w:r>
        <w:rPr>
          <w:rFonts w:hint="eastAsia" w:ascii="仿宋_GB2312" w:eastAsia="仿宋_GB2312"/>
          <w:snapToGrid w:val="0"/>
          <w:kern w:val="0"/>
          <w:sz w:val="28"/>
          <w:szCs w:val="28"/>
          <w:lang w:val="en-US" w:eastAsia="zh-CN"/>
        </w:rPr>
        <w:t>2</w:t>
      </w:r>
      <w:r>
        <w:rPr>
          <w:rFonts w:hint="eastAsia" w:ascii="仿宋_GB2312" w:eastAsia="仿宋_GB2312"/>
          <w:snapToGrid w:val="0"/>
          <w:kern w:val="0"/>
          <w:sz w:val="28"/>
          <w:szCs w:val="28"/>
        </w:rPr>
        <w:t>。</w:t>
      </w:r>
    </w:p>
    <w:p>
      <w:pPr>
        <w:tabs>
          <w:tab w:val="left" w:pos="0"/>
        </w:tabs>
        <w:adjustRightInd w:val="0"/>
        <w:snapToGrid w:val="0"/>
        <w:spacing w:line="360" w:lineRule="auto"/>
        <w:ind w:firstLine="480"/>
        <w:rPr>
          <w:rFonts w:ascii="仿宋_GB2312" w:eastAsia="仿宋_GB2312"/>
          <w:snapToGrid w:val="0"/>
          <w:color w:val="000000" w:themeColor="text1"/>
          <w:kern w:val="0"/>
          <w:sz w:val="28"/>
          <w:szCs w:val="28"/>
          <w:highlight w:val="none"/>
          <w14:textFill>
            <w14:solidFill>
              <w14:schemeClr w14:val="tx1"/>
            </w14:solidFill>
          </w14:textFill>
        </w:rPr>
      </w:pPr>
      <w:r>
        <w:rPr>
          <w:rFonts w:hint="eastAsia" w:ascii="仿宋_GB2312" w:eastAsia="仿宋_GB2312"/>
          <w:snapToGrid w:val="0"/>
          <w:color w:val="000000" w:themeColor="text1"/>
          <w:kern w:val="0"/>
          <w:sz w:val="28"/>
          <w:szCs w:val="28"/>
          <w:highlight w:val="none"/>
          <w14:textFill>
            <w14:solidFill>
              <w14:schemeClr w14:val="tx1"/>
            </w14:solidFill>
          </w14:textFill>
        </w:rPr>
        <w:t>面积大小：按适中</w:t>
      </w:r>
      <w:r>
        <w:rPr>
          <w:rFonts w:hint="eastAsia" w:ascii="仿宋_GB2312" w:eastAsia="仿宋_GB2312"/>
          <w:snapToGrid w:val="0"/>
          <w:color w:val="000000" w:themeColor="text1"/>
          <w:kern w:val="0"/>
          <w:sz w:val="28"/>
          <w:szCs w:val="28"/>
          <w:highlight w:val="none"/>
          <w:lang w:eastAsia="zh-CN"/>
          <w14:textFill>
            <w14:solidFill>
              <w14:schemeClr w14:val="tx1"/>
            </w14:solidFill>
          </w14:textFill>
        </w:rPr>
        <w:t>、</w:t>
      </w:r>
      <w:r>
        <w:rPr>
          <w:rFonts w:hint="eastAsia" w:ascii="仿宋_GB2312" w:eastAsia="仿宋_GB2312"/>
          <w:snapToGrid w:val="0"/>
          <w:color w:val="000000" w:themeColor="text1"/>
          <w:kern w:val="0"/>
          <w:sz w:val="28"/>
          <w:szCs w:val="28"/>
          <w:highlight w:val="none"/>
          <w14:textFill>
            <w14:solidFill>
              <w14:schemeClr w14:val="tx1"/>
            </w14:solidFill>
          </w14:textFill>
        </w:rPr>
        <w:t>大、小分为</w:t>
      </w:r>
      <w:r>
        <w:rPr>
          <w:rFonts w:hint="eastAsia" w:ascii="仿宋_GB2312" w:eastAsia="仿宋_GB2312"/>
          <w:snapToGrid w:val="0"/>
          <w:color w:val="000000" w:themeColor="text1"/>
          <w:kern w:val="0"/>
          <w:sz w:val="28"/>
          <w:szCs w:val="28"/>
          <w:highlight w:val="none"/>
          <w:lang w:val="en-US" w:eastAsia="zh-CN"/>
          <w14:textFill>
            <w14:solidFill>
              <w14:schemeClr w14:val="tx1"/>
            </w14:solidFill>
          </w14:textFill>
        </w:rPr>
        <w:t>三</w:t>
      </w:r>
      <w:r>
        <w:rPr>
          <w:rFonts w:hint="eastAsia" w:ascii="仿宋_GB2312" w:eastAsia="仿宋_GB2312"/>
          <w:snapToGrid w:val="0"/>
          <w:color w:val="000000" w:themeColor="text1"/>
          <w:kern w:val="0"/>
          <w:sz w:val="28"/>
          <w:szCs w:val="28"/>
          <w:highlight w:val="none"/>
          <w14:textFill>
            <w14:solidFill>
              <w14:schemeClr w14:val="tx1"/>
            </w14:solidFill>
          </w14:textFill>
        </w:rPr>
        <w:t>个等级，以估价对象为100，根据当地消费习惯及估价对象的规模，每上升或下降一个等级，指数向上或向下修正</w:t>
      </w:r>
      <w:r>
        <w:rPr>
          <w:rFonts w:hint="eastAsia" w:ascii="仿宋_GB2312" w:eastAsia="仿宋_GB2312"/>
          <w:snapToGrid w:val="0"/>
          <w:color w:val="000000" w:themeColor="text1"/>
          <w:kern w:val="0"/>
          <w:sz w:val="28"/>
          <w:szCs w:val="28"/>
          <w:highlight w:val="none"/>
          <w:lang w:val="en-US" w:eastAsia="zh-CN"/>
          <w14:textFill>
            <w14:solidFill>
              <w14:schemeClr w14:val="tx1"/>
            </w14:solidFill>
          </w14:textFill>
        </w:rPr>
        <w:t>2</w:t>
      </w:r>
      <w:r>
        <w:rPr>
          <w:rFonts w:hint="eastAsia" w:ascii="仿宋_GB2312" w:eastAsia="仿宋_GB2312"/>
          <w:snapToGrid w:val="0"/>
          <w:color w:val="000000" w:themeColor="text1"/>
          <w:kern w:val="0"/>
          <w:sz w:val="28"/>
          <w:szCs w:val="28"/>
          <w:highlight w:val="none"/>
          <w14:textFill>
            <w14:solidFill>
              <w14:schemeClr w14:val="tx1"/>
            </w14:solidFill>
          </w14:textFill>
        </w:rPr>
        <w:t>。</w:t>
      </w:r>
    </w:p>
    <w:p>
      <w:pPr>
        <w:tabs>
          <w:tab w:val="left" w:pos="0"/>
        </w:tabs>
        <w:adjustRightInd w:val="0"/>
        <w:snapToGrid w:val="0"/>
        <w:spacing w:line="360" w:lineRule="auto"/>
        <w:ind w:firstLine="480"/>
        <w:rPr>
          <w:rFonts w:hint="eastAsia" w:ascii="仿宋_GB2312" w:eastAsia="仿宋_GB2312"/>
          <w:snapToGrid w:val="0"/>
          <w:kern w:val="0"/>
          <w:sz w:val="28"/>
          <w:szCs w:val="28"/>
        </w:rPr>
      </w:pPr>
      <w:r>
        <w:rPr>
          <w:rFonts w:hint="eastAsia" w:ascii="仿宋_GB2312" w:eastAsia="仿宋_GB2312"/>
          <w:snapToGrid w:val="0"/>
          <w:kern w:val="0"/>
          <w:sz w:val="28"/>
          <w:szCs w:val="28"/>
        </w:rPr>
        <w:t>设备设施：分齐全、较齐全、不齐全三个等级，以估价对象为100，每上升或下降一个等级，指数向上或向下修正</w:t>
      </w:r>
      <w:r>
        <w:rPr>
          <w:rFonts w:hint="eastAsia" w:ascii="仿宋_GB2312" w:eastAsia="仿宋_GB2312"/>
          <w:snapToGrid w:val="0"/>
          <w:kern w:val="0"/>
          <w:sz w:val="28"/>
          <w:szCs w:val="28"/>
          <w:lang w:val="en-US" w:eastAsia="zh-CN"/>
        </w:rPr>
        <w:t>2</w:t>
      </w:r>
      <w:r>
        <w:rPr>
          <w:rFonts w:hint="eastAsia" w:ascii="仿宋_GB2312" w:eastAsia="仿宋_GB2312"/>
          <w:snapToGrid w:val="0"/>
          <w:kern w:val="0"/>
          <w:sz w:val="28"/>
          <w:szCs w:val="28"/>
        </w:rPr>
        <w:t>。</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室内装修：分为基本装修、普通装修、高档装修三个等级，考虑到一般情况下，房屋的装修都是承租方根据经营服务的内容采用个性化装修，承租后对原装修一般都会进行改造，对租金的影响较小，因此，以估价对象为100，每上升或下降一个等级，指数向上或向下修正</w:t>
      </w:r>
      <w:r>
        <w:rPr>
          <w:rFonts w:hint="eastAsia" w:ascii="仿宋_GB2312" w:eastAsia="仿宋_GB2312"/>
          <w:snapToGrid w:val="0"/>
          <w:kern w:val="0"/>
          <w:sz w:val="28"/>
          <w:szCs w:val="28"/>
          <w:lang w:val="en-US" w:eastAsia="zh-CN"/>
        </w:rPr>
        <w:t>2</w:t>
      </w:r>
      <w:r>
        <w:rPr>
          <w:rFonts w:hint="eastAsia" w:ascii="仿宋_GB2312" w:eastAsia="仿宋_GB2312"/>
          <w:snapToGrid w:val="0"/>
          <w:kern w:val="0"/>
          <w:sz w:val="28"/>
          <w:szCs w:val="28"/>
        </w:rPr>
        <w:t>。</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物业配套管理：分好、较好、一般、较差四个等级，以估价对象为标准，每上升或下降一个等级，指数向上或向下修正</w:t>
      </w:r>
      <w:r>
        <w:rPr>
          <w:rFonts w:hint="eastAsia" w:ascii="仿宋_GB2312" w:eastAsia="仿宋_GB2312"/>
          <w:snapToGrid w:val="0"/>
          <w:kern w:val="0"/>
          <w:sz w:val="28"/>
          <w:szCs w:val="28"/>
          <w:lang w:val="en-US" w:eastAsia="zh-CN"/>
        </w:rPr>
        <w:t>2</w:t>
      </w:r>
      <w:r>
        <w:rPr>
          <w:rFonts w:hint="eastAsia" w:ascii="仿宋_GB2312" w:eastAsia="仿宋_GB2312"/>
          <w:snapToGrid w:val="0"/>
          <w:kern w:val="0"/>
          <w:sz w:val="28"/>
          <w:szCs w:val="28"/>
        </w:rPr>
        <w:t>。</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将可比实例相应因素条件与估价对象相比较，确定相应指数，详见下表《区域因素及个别因素条件指数表》。</w:t>
      </w:r>
    </w:p>
    <w:p>
      <w:pPr>
        <w:snapToGrid w:val="0"/>
        <w:spacing w:line="360" w:lineRule="auto"/>
        <w:jc w:val="center"/>
        <w:rPr>
          <w:rFonts w:ascii="仿宋_GB2312" w:hAnsi="宋体" w:eastAsia="仿宋_GB2312" w:cs="宋体"/>
          <w:b/>
          <w:sz w:val="28"/>
          <w:szCs w:val="28"/>
        </w:rPr>
      </w:pPr>
      <w:r>
        <w:rPr>
          <w:rFonts w:hint="eastAsia" w:ascii="仿宋_GB2312" w:hAnsi="宋体" w:eastAsia="仿宋_GB2312" w:cs="宋体"/>
          <w:b/>
          <w:sz w:val="28"/>
          <w:szCs w:val="28"/>
        </w:rPr>
        <w:t>区域因素及个别因素条件指数表</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2"/>
        <w:gridCol w:w="1905"/>
        <w:gridCol w:w="1905"/>
        <w:gridCol w:w="1905"/>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5" w:type="pct"/>
            <w:shd w:val="clear" w:color="auto" w:fill="auto"/>
            <w:vAlign w:val="center"/>
          </w:tcPr>
          <w:p>
            <w:pPr>
              <w:widowControl/>
              <w:jc w:val="center"/>
              <w:rPr>
                <w:rFonts w:ascii="仿宋_GB2312" w:hAnsi="仿宋_GB2312" w:eastAsia="仿宋_GB2312" w:cs="仿宋_GB2312"/>
                <w:b/>
                <w:bCs w:val="0"/>
                <w:color w:val="auto"/>
                <w:kern w:val="0"/>
                <w:sz w:val="18"/>
                <w:szCs w:val="18"/>
              </w:rPr>
            </w:pPr>
            <w:r>
              <w:rPr>
                <w:rFonts w:hint="eastAsia" w:ascii="仿宋_GB2312" w:hAnsi="仿宋_GB2312" w:eastAsia="仿宋_GB2312" w:cs="仿宋_GB2312"/>
                <w:b/>
                <w:bCs w:val="0"/>
                <w:color w:val="auto"/>
                <w:kern w:val="0"/>
                <w:sz w:val="18"/>
                <w:szCs w:val="18"/>
              </w:rPr>
              <w:t>区位状况因素</w:t>
            </w:r>
          </w:p>
        </w:tc>
        <w:tc>
          <w:tcPr>
            <w:tcW w:w="956" w:type="pct"/>
            <w:shd w:val="clear" w:color="auto" w:fill="auto"/>
            <w:vAlign w:val="center"/>
          </w:tcPr>
          <w:p>
            <w:pPr>
              <w:widowControl/>
              <w:jc w:val="center"/>
              <w:rPr>
                <w:rFonts w:ascii="仿宋_GB2312" w:hAnsi="仿宋_GB2312" w:eastAsia="仿宋_GB2312" w:cs="仿宋_GB2312"/>
                <w:b/>
                <w:bCs w:val="0"/>
                <w:color w:val="auto"/>
                <w:kern w:val="0"/>
                <w:sz w:val="18"/>
                <w:szCs w:val="18"/>
              </w:rPr>
            </w:pPr>
            <w:r>
              <w:rPr>
                <w:rFonts w:hint="eastAsia" w:ascii="仿宋_GB2312" w:hAnsi="仿宋_GB2312" w:eastAsia="仿宋_GB2312" w:cs="仿宋_GB2312"/>
                <w:b/>
                <w:bCs w:val="0"/>
                <w:color w:val="auto"/>
                <w:kern w:val="0"/>
                <w:sz w:val="18"/>
                <w:szCs w:val="18"/>
              </w:rPr>
              <w:t>估价对象</w:t>
            </w:r>
          </w:p>
        </w:tc>
        <w:tc>
          <w:tcPr>
            <w:tcW w:w="956" w:type="pct"/>
            <w:shd w:val="clear" w:color="auto" w:fill="auto"/>
            <w:vAlign w:val="center"/>
          </w:tcPr>
          <w:p>
            <w:pPr>
              <w:widowControl/>
              <w:jc w:val="center"/>
              <w:rPr>
                <w:rFonts w:ascii="仿宋_GB2312" w:hAnsi="仿宋_GB2312" w:eastAsia="仿宋_GB2312" w:cs="仿宋_GB2312"/>
                <w:b/>
                <w:bCs w:val="0"/>
                <w:color w:val="auto"/>
                <w:kern w:val="0"/>
                <w:sz w:val="18"/>
                <w:szCs w:val="18"/>
              </w:rPr>
            </w:pPr>
            <w:r>
              <w:rPr>
                <w:rFonts w:hint="eastAsia" w:ascii="仿宋_GB2312" w:hAnsi="仿宋_GB2312" w:eastAsia="仿宋_GB2312" w:cs="仿宋_GB2312"/>
                <w:b/>
                <w:bCs w:val="0"/>
                <w:color w:val="auto"/>
                <w:kern w:val="0"/>
                <w:sz w:val="18"/>
                <w:szCs w:val="18"/>
              </w:rPr>
              <w:t>可比实例A</w:t>
            </w:r>
          </w:p>
        </w:tc>
        <w:tc>
          <w:tcPr>
            <w:tcW w:w="956" w:type="pct"/>
            <w:shd w:val="clear" w:color="auto" w:fill="auto"/>
            <w:vAlign w:val="center"/>
          </w:tcPr>
          <w:p>
            <w:pPr>
              <w:widowControl/>
              <w:jc w:val="center"/>
              <w:rPr>
                <w:rFonts w:ascii="仿宋_GB2312" w:hAnsi="仿宋_GB2312" w:eastAsia="仿宋_GB2312" w:cs="仿宋_GB2312"/>
                <w:b/>
                <w:bCs w:val="0"/>
                <w:color w:val="auto"/>
                <w:kern w:val="0"/>
                <w:sz w:val="18"/>
                <w:szCs w:val="18"/>
              </w:rPr>
            </w:pPr>
            <w:r>
              <w:rPr>
                <w:rFonts w:hint="eastAsia" w:ascii="仿宋_GB2312" w:hAnsi="仿宋_GB2312" w:eastAsia="仿宋_GB2312" w:cs="仿宋_GB2312"/>
                <w:b/>
                <w:bCs w:val="0"/>
                <w:color w:val="auto"/>
                <w:kern w:val="0"/>
                <w:sz w:val="18"/>
                <w:szCs w:val="18"/>
              </w:rPr>
              <w:t>可比实例B</w:t>
            </w:r>
          </w:p>
        </w:tc>
        <w:tc>
          <w:tcPr>
            <w:tcW w:w="956" w:type="pct"/>
            <w:shd w:val="clear" w:color="auto" w:fill="auto"/>
            <w:vAlign w:val="center"/>
          </w:tcPr>
          <w:p>
            <w:pPr>
              <w:widowControl/>
              <w:jc w:val="center"/>
              <w:rPr>
                <w:rFonts w:ascii="仿宋_GB2312" w:hAnsi="仿宋_GB2312" w:eastAsia="仿宋_GB2312" w:cs="仿宋_GB2312"/>
                <w:b/>
                <w:bCs w:val="0"/>
                <w:color w:val="auto"/>
                <w:kern w:val="0"/>
                <w:sz w:val="18"/>
                <w:szCs w:val="18"/>
              </w:rPr>
            </w:pPr>
            <w:r>
              <w:rPr>
                <w:rFonts w:hint="eastAsia" w:ascii="仿宋_GB2312" w:hAnsi="仿宋_GB2312" w:eastAsia="仿宋_GB2312" w:cs="仿宋_GB2312"/>
                <w:b/>
                <w:bCs w:val="0"/>
                <w:color w:val="auto"/>
                <w:kern w:val="0"/>
                <w:sz w:val="18"/>
                <w:szCs w:val="18"/>
              </w:rPr>
              <w:t>可比实例C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5" w:type="pct"/>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道路通达度</w:t>
            </w:r>
          </w:p>
        </w:tc>
        <w:tc>
          <w:tcPr>
            <w:tcW w:w="956" w:type="pc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18"/>
                <w:szCs w:val="18"/>
                <w:u w:val="none"/>
                <w:lang w:val="en-US" w:eastAsia="zh-CN" w:bidi="ar"/>
              </w:rPr>
              <w:t>100</w:t>
            </w:r>
          </w:p>
        </w:tc>
        <w:tc>
          <w:tcPr>
            <w:tcW w:w="956" w:type="pc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956" w:type="pc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956" w:type="pc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5" w:type="pct"/>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交通状况</w:t>
            </w:r>
          </w:p>
        </w:tc>
        <w:tc>
          <w:tcPr>
            <w:tcW w:w="956" w:type="pc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100</w:t>
            </w:r>
          </w:p>
        </w:tc>
        <w:tc>
          <w:tcPr>
            <w:tcW w:w="956" w:type="pc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956" w:type="pc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956" w:type="pc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5" w:type="pct"/>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基础设施状况</w:t>
            </w:r>
          </w:p>
        </w:tc>
        <w:tc>
          <w:tcPr>
            <w:tcW w:w="956" w:type="pc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18"/>
                <w:szCs w:val="18"/>
                <w:u w:val="none"/>
                <w:lang w:val="en-US" w:eastAsia="zh-CN" w:bidi="ar"/>
              </w:rPr>
              <w:t>100</w:t>
            </w:r>
          </w:p>
        </w:tc>
        <w:tc>
          <w:tcPr>
            <w:tcW w:w="956" w:type="pc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956" w:type="pc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956" w:type="pc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5" w:type="pct"/>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公共配套设施</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18"/>
                <w:szCs w:val="18"/>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6"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5" w:type="pct"/>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商业氛围</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18"/>
                <w:szCs w:val="18"/>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6"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5" w:type="pct"/>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环境优劣度</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18"/>
                <w:szCs w:val="18"/>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6"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5" w:type="pct"/>
            <w:shd w:val="clear" w:color="auto" w:fill="auto"/>
            <w:vAlign w:val="center"/>
          </w:tcPr>
          <w:p>
            <w:pPr>
              <w:widowControl/>
              <w:jc w:val="center"/>
              <w:rPr>
                <w:rFonts w:ascii="仿宋_GB2312" w:hAnsi="仿宋_GB2312" w:eastAsia="仿宋_GB2312" w:cs="仿宋_GB2312"/>
                <w:b/>
                <w:bCs w:val="0"/>
                <w:color w:val="auto"/>
                <w:kern w:val="0"/>
                <w:sz w:val="18"/>
                <w:szCs w:val="18"/>
              </w:rPr>
            </w:pPr>
            <w:r>
              <w:rPr>
                <w:rFonts w:hint="eastAsia" w:ascii="仿宋_GB2312" w:hAnsi="仿宋_GB2312" w:eastAsia="仿宋_GB2312" w:cs="仿宋_GB2312"/>
                <w:b/>
                <w:bCs w:val="0"/>
                <w:color w:val="auto"/>
                <w:kern w:val="0"/>
                <w:sz w:val="18"/>
                <w:szCs w:val="18"/>
              </w:rPr>
              <w:t>实物状况比较因素</w:t>
            </w:r>
          </w:p>
        </w:tc>
        <w:tc>
          <w:tcPr>
            <w:tcW w:w="956" w:type="pct"/>
            <w:shd w:val="clear" w:color="auto" w:fill="auto"/>
            <w:vAlign w:val="center"/>
          </w:tcPr>
          <w:p>
            <w:pPr>
              <w:widowControl/>
              <w:jc w:val="center"/>
              <w:rPr>
                <w:rFonts w:hint="eastAsia" w:ascii="仿宋_GB2312" w:hAnsi="仿宋_GB2312" w:eastAsia="仿宋_GB2312" w:cs="仿宋_GB2312"/>
                <w:b/>
                <w:bCs w:val="0"/>
                <w:color w:val="auto"/>
                <w:kern w:val="0"/>
                <w:sz w:val="18"/>
                <w:szCs w:val="18"/>
              </w:rPr>
            </w:pPr>
            <w:r>
              <w:rPr>
                <w:rFonts w:hint="eastAsia" w:ascii="仿宋_GB2312" w:hAnsi="仿宋_GB2312" w:eastAsia="仿宋_GB2312" w:cs="仿宋_GB2312"/>
                <w:b/>
                <w:bCs w:val="0"/>
                <w:color w:val="auto"/>
                <w:kern w:val="0"/>
                <w:sz w:val="18"/>
                <w:szCs w:val="18"/>
              </w:rPr>
              <w:t>估价对象</w:t>
            </w:r>
          </w:p>
        </w:tc>
        <w:tc>
          <w:tcPr>
            <w:tcW w:w="956" w:type="pct"/>
            <w:shd w:val="clear" w:color="auto" w:fill="auto"/>
            <w:vAlign w:val="center"/>
          </w:tcPr>
          <w:p>
            <w:pPr>
              <w:widowControl/>
              <w:jc w:val="center"/>
              <w:rPr>
                <w:rFonts w:hint="eastAsia" w:ascii="仿宋_GB2312" w:hAnsi="仿宋_GB2312" w:eastAsia="仿宋_GB2312" w:cs="仿宋_GB2312"/>
                <w:b/>
                <w:bCs w:val="0"/>
                <w:color w:val="auto"/>
                <w:kern w:val="0"/>
                <w:sz w:val="18"/>
                <w:szCs w:val="18"/>
              </w:rPr>
            </w:pPr>
            <w:r>
              <w:rPr>
                <w:rFonts w:hint="eastAsia" w:ascii="仿宋_GB2312" w:hAnsi="仿宋_GB2312" w:eastAsia="仿宋_GB2312" w:cs="仿宋_GB2312"/>
                <w:b/>
                <w:bCs w:val="0"/>
                <w:color w:val="auto"/>
                <w:kern w:val="0"/>
                <w:sz w:val="18"/>
                <w:szCs w:val="18"/>
              </w:rPr>
              <w:t>可比实例A</w:t>
            </w:r>
          </w:p>
        </w:tc>
        <w:tc>
          <w:tcPr>
            <w:tcW w:w="956" w:type="pct"/>
            <w:shd w:val="clear" w:color="auto" w:fill="auto"/>
            <w:vAlign w:val="center"/>
          </w:tcPr>
          <w:p>
            <w:pPr>
              <w:widowControl/>
              <w:jc w:val="center"/>
              <w:rPr>
                <w:rFonts w:hint="eastAsia" w:ascii="仿宋_GB2312" w:hAnsi="仿宋_GB2312" w:eastAsia="仿宋_GB2312" w:cs="仿宋_GB2312"/>
                <w:b/>
                <w:bCs w:val="0"/>
                <w:color w:val="auto"/>
                <w:kern w:val="0"/>
                <w:sz w:val="18"/>
                <w:szCs w:val="18"/>
              </w:rPr>
            </w:pPr>
            <w:r>
              <w:rPr>
                <w:rFonts w:hint="eastAsia" w:ascii="仿宋_GB2312" w:hAnsi="仿宋_GB2312" w:eastAsia="仿宋_GB2312" w:cs="仿宋_GB2312"/>
                <w:b/>
                <w:bCs w:val="0"/>
                <w:color w:val="auto"/>
                <w:kern w:val="0"/>
                <w:sz w:val="18"/>
                <w:szCs w:val="18"/>
              </w:rPr>
              <w:t>可比实例B</w:t>
            </w:r>
          </w:p>
        </w:tc>
        <w:tc>
          <w:tcPr>
            <w:tcW w:w="956" w:type="pct"/>
            <w:shd w:val="clear" w:color="auto" w:fill="auto"/>
            <w:vAlign w:val="center"/>
          </w:tcPr>
          <w:p>
            <w:pPr>
              <w:widowControl/>
              <w:jc w:val="center"/>
              <w:rPr>
                <w:rFonts w:hint="eastAsia" w:ascii="仿宋_GB2312" w:hAnsi="仿宋_GB2312" w:eastAsia="仿宋_GB2312" w:cs="仿宋_GB2312"/>
                <w:b/>
                <w:bCs w:val="0"/>
                <w:color w:val="auto"/>
                <w:kern w:val="0"/>
                <w:sz w:val="18"/>
                <w:szCs w:val="18"/>
              </w:rPr>
            </w:pPr>
            <w:r>
              <w:rPr>
                <w:rFonts w:hint="eastAsia" w:ascii="仿宋_GB2312" w:hAnsi="仿宋_GB2312" w:eastAsia="仿宋_GB2312" w:cs="仿宋_GB2312"/>
                <w:b/>
                <w:bCs w:val="0"/>
                <w:color w:val="auto"/>
                <w:kern w:val="0"/>
                <w:sz w:val="18"/>
                <w:szCs w:val="18"/>
              </w:rPr>
              <w:t>可比实例C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5" w:type="pct"/>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临路状况</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18"/>
                <w:szCs w:val="18"/>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6"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5" w:type="pct"/>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完损程度</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6"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5" w:type="pct"/>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面积大小</w:t>
            </w:r>
          </w:p>
        </w:tc>
        <w:tc>
          <w:tcPr>
            <w:tcW w:w="1905"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0"/>
                <w:sz w:val="18"/>
                <w:szCs w:val="18"/>
                <w:lang w:val="en-US"/>
              </w:rPr>
            </w:pPr>
            <w:r>
              <w:rPr>
                <w:rFonts w:hint="eastAsia" w:ascii="仿宋" w:hAnsi="仿宋" w:eastAsia="仿宋" w:cs="仿宋"/>
                <w:i w:val="0"/>
                <w:iCs w:val="0"/>
                <w:color w:val="000000"/>
                <w:kern w:val="0"/>
                <w:sz w:val="18"/>
                <w:szCs w:val="18"/>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color w:val="auto"/>
                <w:kern w:val="0"/>
                <w:sz w:val="18"/>
                <w:szCs w:val="18"/>
                <w:lang w:val="en-US"/>
              </w:rPr>
            </w:pPr>
            <w:r>
              <w:rPr>
                <w:rFonts w:hint="eastAsia" w:ascii="仿宋" w:hAnsi="仿宋" w:eastAsia="仿宋" w:cs="仿宋"/>
                <w:i w:val="0"/>
                <w:iCs w:val="0"/>
                <w:color w:val="auto"/>
                <w:kern w:val="0"/>
                <w:sz w:val="18"/>
                <w:szCs w:val="18"/>
                <w:u w:val="none"/>
                <w:lang w:val="en-US" w:eastAsia="zh-CN" w:bidi="ar"/>
              </w:rPr>
              <w:t>98</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6"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5" w:type="pct"/>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设备设施</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6"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5" w:type="pct"/>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室内装修</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FF0000"/>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FF0000"/>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6"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FF0000"/>
                <w:kern w:val="0"/>
                <w:sz w:val="18"/>
                <w:szCs w:val="18"/>
              </w:rPr>
            </w:pPr>
            <w:r>
              <w:rPr>
                <w:rFonts w:hint="eastAsia" w:ascii="仿宋" w:hAnsi="仿宋" w:eastAsia="仿宋" w:cs="仿宋"/>
                <w:i w:val="0"/>
                <w:iCs w:val="0"/>
                <w:color w:val="auto"/>
                <w:kern w:val="0"/>
                <w:sz w:val="18"/>
                <w:szCs w:val="18"/>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5" w:type="pct"/>
            <w:shd w:val="clear" w:color="auto" w:fill="auto"/>
            <w:vAlign w:val="center"/>
          </w:tcPr>
          <w:p>
            <w:pPr>
              <w:keepNext w:val="0"/>
              <w:keepLines w:val="0"/>
              <w:widowControl/>
              <w:suppressLineNumbers w:val="0"/>
              <w:jc w:val="center"/>
              <w:textAlignment w:val="center"/>
              <w:rPr>
                <w:rFonts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物业配套管理</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000000"/>
                <w:kern w:val="0"/>
                <w:sz w:val="20"/>
                <w:szCs w:val="20"/>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c>
          <w:tcPr>
            <w:tcW w:w="1906"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18"/>
                <w:szCs w:val="18"/>
              </w:rPr>
            </w:pPr>
            <w:r>
              <w:rPr>
                <w:rFonts w:hint="eastAsia" w:ascii="仿宋" w:hAnsi="仿宋" w:eastAsia="仿宋" w:cs="仿宋"/>
                <w:i w:val="0"/>
                <w:iCs w:val="0"/>
                <w:color w:val="auto"/>
                <w:kern w:val="0"/>
                <w:sz w:val="18"/>
                <w:szCs w:val="18"/>
                <w:u w:val="none"/>
                <w:lang w:val="en-US" w:eastAsia="zh-CN" w:bidi="ar"/>
              </w:rPr>
              <w:t>100</w:t>
            </w:r>
          </w:p>
        </w:tc>
      </w:tr>
    </w:tbl>
    <w:p>
      <w:pPr>
        <w:snapToGrid w:val="0"/>
        <w:spacing w:line="300" w:lineRule="exact"/>
        <w:jc w:val="center"/>
        <w:rPr>
          <w:rFonts w:ascii="仿宋_GB2312" w:hAnsi="楷体" w:eastAsia="仿宋_GB2312"/>
          <w:snapToGrid w:val="0"/>
          <w:kern w:val="0"/>
          <w:sz w:val="28"/>
          <w:szCs w:val="28"/>
        </w:rPr>
      </w:pPr>
    </w:p>
    <w:p>
      <w:pPr>
        <w:snapToGrid w:val="0"/>
        <w:spacing w:line="360" w:lineRule="auto"/>
      </w:pPr>
      <w:r>
        <w:rPr>
          <w:rFonts w:hint="eastAsia" w:ascii="仿宋_GB2312" w:hAnsi="楷体" w:eastAsia="仿宋_GB2312"/>
          <w:snapToGrid w:val="0"/>
          <w:kern w:val="0"/>
          <w:sz w:val="28"/>
          <w:szCs w:val="28"/>
          <w:lang w:val="en-US" w:eastAsia="zh-CN"/>
        </w:rPr>
        <w:t>⑤</w:t>
      </w:r>
      <w:r>
        <w:rPr>
          <w:rFonts w:hint="eastAsia" w:ascii="仿宋_GB2312" w:hAnsi="楷体" w:eastAsia="仿宋_GB2312"/>
          <w:snapToGrid w:val="0"/>
          <w:kern w:val="0"/>
          <w:sz w:val="28"/>
          <w:szCs w:val="28"/>
        </w:rPr>
        <w:t>编制比较因素调整系数表</w:t>
      </w:r>
    </w:p>
    <w:p>
      <w:pPr>
        <w:snapToGrid w:val="0"/>
        <w:spacing w:line="360" w:lineRule="auto"/>
        <w:jc w:val="center"/>
        <w:rPr>
          <w:rFonts w:ascii="仿宋_GB2312" w:hAnsi="宋体" w:eastAsia="仿宋_GB2312" w:cs="宋体"/>
          <w:b/>
          <w:sz w:val="28"/>
          <w:szCs w:val="28"/>
        </w:rPr>
      </w:pPr>
      <w:r>
        <w:rPr>
          <w:rFonts w:hint="eastAsia" w:ascii="仿宋_GB2312" w:hAnsi="宋体" w:eastAsia="仿宋_GB2312" w:cs="宋体"/>
          <w:b/>
          <w:sz w:val="28"/>
          <w:szCs w:val="28"/>
        </w:rPr>
        <w:t>比较因素调整系数表</w:t>
      </w:r>
    </w:p>
    <w:tbl>
      <w:tblPr>
        <w:tblStyle w:val="45"/>
        <w:tblW w:w="5000" w:type="pct"/>
        <w:tblInd w:w="0" w:type="dxa"/>
        <w:tblLayout w:type="autofit"/>
        <w:tblCellMar>
          <w:top w:w="0" w:type="dxa"/>
          <w:left w:w="108" w:type="dxa"/>
          <w:bottom w:w="0" w:type="dxa"/>
          <w:right w:w="108" w:type="dxa"/>
        </w:tblCellMar>
      </w:tblPr>
      <w:tblGrid>
        <w:gridCol w:w="2242"/>
        <w:gridCol w:w="2557"/>
        <w:gridCol w:w="2569"/>
        <w:gridCol w:w="2595"/>
      </w:tblGrid>
      <w:tr>
        <w:tblPrEx>
          <w:tblCellMar>
            <w:top w:w="0" w:type="dxa"/>
            <w:left w:w="108" w:type="dxa"/>
            <w:bottom w:w="0" w:type="dxa"/>
            <w:right w:w="108" w:type="dxa"/>
          </w:tblCellMar>
        </w:tblPrEx>
        <w:trPr>
          <w:trHeight w:val="285" w:hRule="atLeast"/>
        </w:trPr>
        <w:tc>
          <w:tcPr>
            <w:tcW w:w="112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比较项目</w:t>
            </w:r>
          </w:p>
        </w:tc>
        <w:tc>
          <w:tcPr>
            <w:tcW w:w="128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可比实例A</w:t>
            </w:r>
          </w:p>
        </w:tc>
        <w:tc>
          <w:tcPr>
            <w:tcW w:w="128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可比实例B</w:t>
            </w:r>
          </w:p>
        </w:tc>
        <w:tc>
          <w:tcPr>
            <w:tcW w:w="130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可比实例C</w:t>
            </w:r>
          </w:p>
        </w:tc>
      </w:tr>
      <w:tr>
        <w:tblPrEx>
          <w:tblCellMar>
            <w:top w:w="0" w:type="dxa"/>
            <w:left w:w="108" w:type="dxa"/>
            <w:bottom w:w="0" w:type="dxa"/>
            <w:right w:w="108" w:type="dxa"/>
          </w:tblCellMar>
        </w:tblPrEx>
        <w:trPr>
          <w:trHeight w:val="285" w:hRule="atLeast"/>
        </w:trPr>
        <w:tc>
          <w:tcPr>
            <w:tcW w:w="112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正常月租金单价</w:t>
            </w:r>
          </w:p>
        </w:tc>
        <w:tc>
          <w:tcPr>
            <w:tcW w:w="1283"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sz w:val="18"/>
                <w:szCs w:val="18"/>
              </w:rPr>
            </w:pPr>
            <w:r>
              <w:rPr>
                <w:rFonts w:hint="eastAsia" w:ascii="仿宋" w:hAnsi="仿宋" w:eastAsia="仿宋" w:cs="仿宋"/>
                <w:i w:val="0"/>
                <w:iCs w:val="0"/>
                <w:color w:val="000000"/>
                <w:kern w:val="0"/>
                <w:sz w:val="20"/>
                <w:szCs w:val="20"/>
                <w:u w:val="none"/>
                <w:lang w:val="en-US" w:eastAsia="zh-CN" w:bidi="ar"/>
              </w:rPr>
              <w:t xml:space="preserve">11.40 </w:t>
            </w:r>
          </w:p>
        </w:tc>
        <w:tc>
          <w:tcPr>
            <w:tcW w:w="1289"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sz w:val="18"/>
                <w:szCs w:val="18"/>
              </w:rPr>
            </w:pPr>
            <w:r>
              <w:rPr>
                <w:rFonts w:hint="eastAsia" w:ascii="仿宋" w:hAnsi="仿宋" w:eastAsia="仿宋" w:cs="仿宋"/>
                <w:i w:val="0"/>
                <w:iCs w:val="0"/>
                <w:color w:val="000000"/>
                <w:kern w:val="0"/>
                <w:sz w:val="20"/>
                <w:szCs w:val="20"/>
                <w:u w:val="none"/>
                <w:lang w:val="en-US" w:eastAsia="zh-CN" w:bidi="ar"/>
              </w:rPr>
              <w:t xml:space="preserve">12.90 </w:t>
            </w:r>
          </w:p>
        </w:tc>
        <w:tc>
          <w:tcPr>
            <w:tcW w:w="1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sz w:val="18"/>
                <w:szCs w:val="18"/>
              </w:rPr>
            </w:pPr>
            <w:r>
              <w:rPr>
                <w:rFonts w:hint="eastAsia" w:ascii="仿宋" w:hAnsi="仿宋" w:eastAsia="仿宋" w:cs="仿宋"/>
                <w:i w:val="0"/>
                <w:iCs w:val="0"/>
                <w:color w:val="000000"/>
                <w:kern w:val="0"/>
                <w:sz w:val="20"/>
                <w:szCs w:val="20"/>
                <w:u w:val="none"/>
                <w:lang w:val="en-US" w:eastAsia="zh-CN" w:bidi="ar"/>
              </w:rPr>
              <w:t xml:space="preserve">12.00 </w:t>
            </w:r>
          </w:p>
        </w:tc>
      </w:tr>
      <w:tr>
        <w:tblPrEx>
          <w:tblCellMar>
            <w:top w:w="0" w:type="dxa"/>
            <w:left w:w="108" w:type="dxa"/>
            <w:bottom w:w="0" w:type="dxa"/>
            <w:right w:w="108" w:type="dxa"/>
          </w:tblCellMar>
        </w:tblPrEx>
        <w:trPr>
          <w:trHeight w:val="285" w:hRule="atLeast"/>
        </w:trPr>
        <w:tc>
          <w:tcPr>
            <w:tcW w:w="112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交易情况</w:t>
            </w: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c>
          <w:tcPr>
            <w:tcW w:w="12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c>
          <w:tcPr>
            <w:tcW w:w="1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r>
      <w:tr>
        <w:tblPrEx>
          <w:tblCellMar>
            <w:top w:w="0" w:type="dxa"/>
            <w:left w:w="108" w:type="dxa"/>
            <w:bottom w:w="0" w:type="dxa"/>
            <w:right w:w="108" w:type="dxa"/>
          </w:tblCellMar>
        </w:tblPrEx>
        <w:trPr>
          <w:trHeight w:val="285" w:hRule="atLeast"/>
        </w:trPr>
        <w:tc>
          <w:tcPr>
            <w:tcW w:w="112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市场状况</w:t>
            </w:r>
          </w:p>
        </w:tc>
        <w:tc>
          <w:tcPr>
            <w:tcW w:w="128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c>
          <w:tcPr>
            <w:tcW w:w="128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c>
          <w:tcPr>
            <w:tcW w:w="130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r>
      <w:tr>
        <w:tblPrEx>
          <w:tblCellMar>
            <w:top w:w="0" w:type="dxa"/>
            <w:left w:w="108" w:type="dxa"/>
            <w:bottom w:w="0" w:type="dxa"/>
            <w:right w:w="108" w:type="dxa"/>
          </w:tblCellMar>
        </w:tblPrEx>
        <w:trPr>
          <w:trHeight w:val="285" w:hRule="atLeast"/>
        </w:trPr>
        <w:tc>
          <w:tcPr>
            <w:tcW w:w="112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区位状况因素</w:t>
            </w:r>
          </w:p>
        </w:tc>
        <w:tc>
          <w:tcPr>
            <w:tcW w:w="128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可比实例A</w:t>
            </w:r>
          </w:p>
        </w:tc>
        <w:tc>
          <w:tcPr>
            <w:tcW w:w="128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可比实例B</w:t>
            </w:r>
          </w:p>
        </w:tc>
        <w:tc>
          <w:tcPr>
            <w:tcW w:w="130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可比实例C</w:t>
            </w:r>
          </w:p>
        </w:tc>
      </w:tr>
      <w:tr>
        <w:tblPrEx>
          <w:tblCellMar>
            <w:top w:w="0" w:type="dxa"/>
            <w:left w:w="108" w:type="dxa"/>
            <w:bottom w:w="0" w:type="dxa"/>
            <w:right w:w="108" w:type="dxa"/>
          </w:tblCellMar>
        </w:tblPrEx>
        <w:trPr>
          <w:trHeight w:val="285" w:hRule="atLeast"/>
        </w:trPr>
        <w:tc>
          <w:tcPr>
            <w:tcW w:w="1125"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kern w:val="0"/>
                <w:sz w:val="18"/>
                <w:szCs w:val="18"/>
              </w:rPr>
            </w:pPr>
            <w:r>
              <w:rPr>
                <w:rFonts w:hint="eastAsia" w:ascii="仿宋" w:hAnsi="仿宋" w:eastAsia="仿宋" w:cs="仿宋"/>
                <w:i w:val="0"/>
                <w:iCs w:val="0"/>
                <w:color w:val="000000"/>
                <w:kern w:val="0"/>
                <w:sz w:val="20"/>
                <w:szCs w:val="20"/>
                <w:u w:val="none"/>
                <w:lang w:val="en-US" w:eastAsia="zh-CN" w:bidi="ar"/>
              </w:rPr>
              <w:t>道路通达度</w:t>
            </w:r>
          </w:p>
        </w:tc>
        <w:tc>
          <w:tcPr>
            <w:tcW w:w="128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c>
          <w:tcPr>
            <w:tcW w:w="128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c>
          <w:tcPr>
            <w:tcW w:w="130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r>
      <w:tr>
        <w:tblPrEx>
          <w:tblCellMar>
            <w:top w:w="0" w:type="dxa"/>
            <w:left w:w="108" w:type="dxa"/>
            <w:bottom w:w="0" w:type="dxa"/>
            <w:right w:w="108" w:type="dxa"/>
          </w:tblCellMar>
        </w:tblPrEx>
        <w:trPr>
          <w:trHeight w:val="285" w:hRule="atLeast"/>
        </w:trPr>
        <w:tc>
          <w:tcPr>
            <w:tcW w:w="1125"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kern w:val="0"/>
                <w:sz w:val="18"/>
                <w:szCs w:val="18"/>
              </w:rPr>
            </w:pPr>
            <w:r>
              <w:rPr>
                <w:rFonts w:hint="eastAsia" w:ascii="仿宋" w:hAnsi="仿宋" w:eastAsia="仿宋" w:cs="仿宋"/>
                <w:i w:val="0"/>
                <w:iCs w:val="0"/>
                <w:color w:val="000000"/>
                <w:kern w:val="0"/>
                <w:sz w:val="20"/>
                <w:szCs w:val="20"/>
                <w:u w:val="none"/>
                <w:lang w:val="en-US" w:eastAsia="zh-CN" w:bidi="ar"/>
              </w:rPr>
              <w:t>交通状况</w:t>
            </w:r>
          </w:p>
        </w:tc>
        <w:tc>
          <w:tcPr>
            <w:tcW w:w="128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c>
          <w:tcPr>
            <w:tcW w:w="128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c>
          <w:tcPr>
            <w:tcW w:w="130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r>
      <w:tr>
        <w:tblPrEx>
          <w:tblCellMar>
            <w:top w:w="0" w:type="dxa"/>
            <w:left w:w="108" w:type="dxa"/>
            <w:bottom w:w="0" w:type="dxa"/>
            <w:right w:w="108" w:type="dxa"/>
          </w:tblCellMar>
        </w:tblPrEx>
        <w:trPr>
          <w:trHeight w:val="285" w:hRule="atLeast"/>
        </w:trPr>
        <w:tc>
          <w:tcPr>
            <w:tcW w:w="11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kern w:val="0"/>
                <w:sz w:val="18"/>
                <w:szCs w:val="18"/>
              </w:rPr>
            </w:pPr>
            <w:r>
              <w:rPr>
                <w:rFonts w:hint="eastAsia" w:ascii="仿宋" w:hAnsi="仿宋" w:eastAsia="仿宋" w:cs="仿宋"/>
                <w:i w:val="0"/>
                <w:iCs w:val="0"/>
                <w:color w:val="000000"/>
                <w:kern w:val="0"/>
                <w:sz w:val="20"/>
                <w:szCs w:val="20"/>
                <w:u w:val="none"/>
                <w:lang w:val="en-US" w:eastAsia="zh-CN" w:bidi="ar"/>
              </w:rPr>
              <w:t>基础设施状况</w:t>
            </w: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c>
          <w:tcPr>
            <w:tcW w:w="12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c>
          <w:tcPr>
            <w:tcW w:w="1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r>
      <w:tr>
        <w:tblPrEx>
          <w:tblCellMar>
            <w:top w:w="0" w:type="dxa"/>
            <w:left w:w="108" w:type="dxa"/>
            <w:bottom w:w="0" w:type="dxa"/>
            <w:right w:w="108" w:type="dxa"/>
          </w:tblCellMar>
        </w:tblPrEx>
        <w:trPr>
          <w:trHeight w:val="285" w:hRule="atLeast"/>
        </w:trPr>
        <w:tc>
          <w:tcPr>
            <w:tcW w:w="11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kern w:val="0"/>
                <w:sz w:val="18"/>
                <w:szCs w:val="18"/>
              </w:rPr>
            </w:pPr>
            <w:r>
              <w:rPr>
                <w:rFonts w:hint="eastAsia" w:ascii="仿宋" w:hAnsi="仿宋" w:eastAsia="仿宋" w:cs="仿宋"/>
                <w:i w:val="0"/>
                <w:iCs w:val="0"/>
                <w:color w:val="000000"/>
                <w:kern w:val="0"/>
                <w:sz w:val="20"/>
                <w:szCs w:val="20"/>
                <w:u w:val="none"/>
                <w:lang w:val="en-US" w:eastAsia="zh-CN" w:bidi="ar"/>
              </w:rPr>
              <w:t>公共配套设施</w:t>
            </w:r>
          </w:p>
        </w:tc>
        <w:tc>
          <w:tcPr>
            <w:tcW w:w="128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c>
          <w:tcPr>
            <w:tcW w:w="128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c>
          <w:tcPr>
            <w:tcW w:w="130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100/100</w:t>
            </w:r>
          </w:p>
        </w:tc>
      </w:tr>
      <w:tr>
        <w:tblPrEx>
          <w:tblCellMar>
            <w:top w:w="0" w:type="dxa"/>
            <w:left w:w="108" w:type="dxa"/>
            <w:bottom w:w="0" w:type="dxa"/>
            <w:right w:w="108" w:type="dxa"/>
          </w:tblCellMar>
        </w:tblPrEx>
        <w:trPr>
          <w:trHeight w:val="285" w:hRule="atLeast"/>
        </w:trPr>
        <w:tc>
          <w:tcPr>
            <w:tcW w:w="1125"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kern w:val="0"/>
                <w:sz w:val="18"/>
                <w:szCs w:val="18"/>
              </w:rPr>
            </w:pPr>
            <w:r>
              <w:rPr>
                <w:rFonts w:hint="eastAsia" w:ascii="仿宋" w:hAnsi="仿宋" w:eastAsia="仿宋" w:cs="仿宋"/>
                <w:i w:val="0"/>
                <w:iCs w:val="0"/>
                <w:color w:val="000000"/>
                <w:kern w:val="0"/>
                <w:sz w:val="20"/>
                <w:szCs w:val="20"/>
                <w:u w:val="none"/>
                <w:lang w:val="en-US" w:eastAsia="zh-CN" w:bidi="ar"/>
              </w:rPr>
              <w:t>商业氛围</w:t>
            </w:r>
          </w:p>
        </w:tc>
        <w:tc>
          <w:tcPr>
            <w:tcW w:w="1283" w:type="pct"/>
            <w:tcBorders>
              <w:top w:val="nil"/>
              <w:left w:val="nil"/>
              <w:bottom w:val="single" w:color="auto" w:sz="4" w:space="0"/>
              <w:right w:val="single" w:color="auto" w:sz="4" w:space="0"/>
            </w:tcBorders>
            <w:shd w:val="clear" w:color="auto" w:fill="auto"/>
            <w:vAlign w:val="center"/>
          </w:tcPr>
          <w:p>
            <w:pPr>
              <w:widowControl/>
              <w:jc w:val="center"/>
              <w:rPr>
                <w:rFonts w:hint="default" w:ascii="仿宋_GB2312" w:hAnsi="仿宋_GB2312" w:eastAsia="仿宋_GB2312" w:cs="仿宋_GB2312"/>
                <w:color w:val="FF0000"/>
                <w:kern w:val="0"/>
                <w:sz w:val="18"/>
                <w:szCs w:val="18"/>
                <w:lang w:val="en-US" w:eastAsia="zh-CN"/>
              </w:rPr>
            </w:pPr>
            <w:r>
              <w:rPr>
                <w:rFonts w:hint="eastAsia" w:ascii="仿宋_GB2312" w:hAnsi="仿宋_GB2312" w:eastAsia="仿宋_GB2312" w:cs="仿宋_GB2312"/>
                <w:kern w:val="0"/>
                <w:sz w:val="18"/>
                <w:szCs w:val="18"/>
              </w:rPr>
              <w:t>100/100</w:t>
            </w:r>
          </w:p>
        </w:tc>
        <w:tc>
          <w:tcPr>
            <w:tcW w:w="128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FF0000"/>
                <w:kern w:val="0"/>
                <w:sz w:val="18"/>
                <w:szCs w:val="18"/>
              </w:rPr>
            </w:pPr>
            <w:r>
              <w:rPr>
                <w:rFonts w:hint="eastAsia" w:ascii="仿宋_GB2312" w:hAnsi="仿宋_GB2312" w:eastAsia="仿宋_GB2312" w:cs="仿宋_GB2312"/>
                <w:kern w:val="0"/>
                <w:sz w:val="18"/>
                <w:szCs w:val="18"/>
              </w:rPr>
              <w:t>100/100</w:t>
            </w:r>
          </w:p>
        </w:tc>
        <w:tc>
          <w:tcPr>
            <w:tcW w:w="130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FF0000"/>
                <w:kern w:val="0"/>
                <w:sz w:val="18"/>
                <w:szCs w:val="18"/>
              </w:rPr>
            </w:pPr>
            <w:r>
              <w:rPr>
                <w:rFonts w:hint="eastAsia" w:ascii="仿宋_GB2312" w:hAnsi="仿宋_GB2312" w:eastAsia="仿宋_GB2312" w:cs="仿宋_GB2312"/>
                <w:kern w:val="0"/>
                <w:sz w:val="18"/>
                <w:szCs w:val="18"/>
              </w:rPr>
              <w:t>100/100</w:t>
            </w:r>
          </w:p>
        </w:tc>
      </w:tr>
      <w:tr>
        <w:tblPrEx>
          <w:tblCellMar>
            <w:top w:w="0" w:type="dxa"/>
            <w:left w:w="108" w:type="dxa"/>
            <w:bottom w:w="0" w:type="dxa"/>
            <w:right w:w="108" w:type="dxa"/>
          </w:tblCellMar>
        </w:tblPrEx>
        <w:trPr>
          <w:trHeight w:val="285" w:hRule="atLeast"/>
        </w:trPr>
        <w:tc>
          <w:tcPr>
            <w:tcW w:w="11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kern w:val="0"/>
                <w:sz w:val="18"/>
                <w:szCs w:val="18"/>
              </w:rPr>
            </w:pPr>
            <w:r>
              <w:rPr>
                <w:rFonts w:hint="eastAsia" w:ascii="仿宋" w:hAnsi="仿宋" w:eastAsia="仿宋" w:cs="仿宋"/>
                <w:i w:val="0"/>
                <w:iCs w:val="0"/>
                <w:color w:val="000000"/>
                <w:kern w:val="0"/>
                <w:sz w:val="20"/>
                <w:szCs w:val="20"/>
                <w:u w:val="none"/>
                <w:lang w:val="en-US" w:eastAsia="zh-CN" w:bidi="ar"/>
              </w:rPr>
              <w:t>环境优劣度</w:t>
            </w: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100/100</w:t>
            </w:r>
          </w:p>
        </w:tc>
        <w:tc>
          <w:tcPr>
            <w:tcW w:w="12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100/100</w:t>
            </w:r>
          </w:p>
        </w:tc>
        <w:tc>
          <w:tcPr>
            <w:tcW w:w="1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100/100</w:t>
            </w:r>
          </w:p>
        </w:tc>
      </w:tr>
      <w:tr>
        <w:tblPrEx>
          <w:tblCellMar>
            <w:top w:w="0" w:type="dxa"/>
            <w:left w:w="108" w:type="dxa"/>
            <w:bottom w:w="0" w:type="dxa"/>
            <w:right w:w="108" w:type="dxa"/>
          </w:tblCellMar>
        </w:tblPrEx>
        <w:trPr>
          <w:trHeight w:val="285" w:hRule="atLeast"/>
        </w:trPr>
        <w:tc>
          <w:tcPr>
            <w:tcW w:w="112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实物状况比较因素</w:t>
            </w:r>
          </w:p>
        </w:tc>
        <w:tc>
          <w:tcPr>
            <w:tcW w:w="128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可比实例A</w:t>
            </w:r>
          </w:p>
        </w:tc>
        <w:tc>
          <w:tcPr>
            <w:tcW w:w="128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可比实例B</w:t>
            </w:r>
          </w:p>
        </w:tc>
        <w:tc>
          <w:tcPr>
            <w:tcW w:w="130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可比实例C</w:t>
            </w:r>
          </w:p>
        </w:tc>
      </w:tr>
      <w:tr>
        <w:tblPrEx>
          <w:tblCellMar>
            <w:top w:w="0" w:type="dxa"/>
            <w:left w:w="108" w:type="dxa"/>
            <w:bottom w:w="0" w:type="dxa"/>
            <w:right w:w="108" w:type="dxa"/>
          </w:tblCellMar>
        </w:tblPrEx>
        <w:trPr>
          <w:trHeight w:val="285" w:hRule="atLeast"/>
        </w:trPr>
        <w:tc>
          <w:tcPr>
            <w:tcW w:w="1125"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kern w:val="0"/>
                <w:sz w:val="18"/>
                <w:szCs w:val="18"/>
              </w:rPr>
            </w:pPr>
            <w:r>
              <w:rPr>
                <w:rFonts w:hint="eastAsia" w:ascii="仿宋" w:hAnsi="仿宋" w:eastAsia="仿宋" w:cs="仿宋"/>
                <w:i w:val="0"/>
                <w:iCs w:val="0"/>
                <w:color w:val="000000"/>
                <w:kern w:val="0"/>
                <w:sz w:val="20"/>
                <w:szCs w:val="20"/>
                <w:u w:val="none"/>
                <w:lang w:val="en-US" w:eastAsia="zh-CN" w:bidi="ar"/>
              </w:rPr>
              <w:t>临路状况</w:t>
            </w:r>
          </w:p>
        </w:tc>
        <w:tc>
          <w:tcPr>
            <w:tcW w:w="128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100/100</w:t>
            </w:r>
          </w:p>
        </w:tc>
        <w:tc>
          <w:tcPr>
            <w:tcW w:w="128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100/100</w:t>
            </w:r>
          </w:p>
        </w:tc>
        <w:tc>
          <w:tcPr>
            <w:tcW w:w="130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100/100</w:t>
            </w:r>
          </w:p>
        </w:tc>
      </w:tr>
      <w:tr>
        <w:tblPrEx>
          <w:tblCellMar>
            <w:top w:w="0" w:type="dxa"/>
            <w:left w:w="108" w:type="dxa"/>
            <w:bottom w:w="0" w:type="dxa"/>
            <w:right w:w="108" w:type="dxa"/>
          </w:tblCellMar>
        </w:tblPrEx>
        <w:trPr>
          <w:trHeight w:val="285" w:hRule="atLeast"/>
        </w:trPr>
        <w:tc>
          <w:tcPr>
            <w:tcW w:w="1125"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kern w:val="0"/>
                <w:sz w:val="18"/>
                <w:szCs w:val="18"/>
              </w:rPr>
            </w:pPr>
            <w:r>
              <w:rPr>
                <w:rFonts w:hint="eastAsia" w:ascii="仿宋" w:hAnsi="仿宋" w:eastAsia="仿宋" w:cs="仿宋"/>
                <w:i w:val="0"/>
                <w:iCs w:val="0"/>
                <w:color w:val="000000"/>
                <w:kern w:val="0"/>
                <w:sz w:val="20"/>
                <w:szCs w:val="20"/>
                <w:u w:val="none"/>
                <w:lang w:val="en-US" w:eastAsia="zh-CN" w:bidi="ar"/>
              </w:rPr>
              <w:t>完损程度</w:t>
            </w:r>
          </w:p>
        </w:tc>
        <w:tc>
          <w:tcPr>
            <w:tcW w:w="1283" w:type="pct"/>
            <w:tcBorders>
              <w:top w:val="nil"/>
              <w:left w:val="nil"/>
              <w:bottom w:val="single" w:color="auto" w:sz="4" w:space="0"/>
              <w:right w:val="single" w:color="auto" w:sz="4" w:space="0"/>
            </w:tcBorders>
            <w:shd w:val="clear" w:color="auto" w:fill="auto"/>
            <w:vAlign w:val="center"/>
          </w:tcPr>
          <w:p>
            <w:pPr>
              <w:widowControl/>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kern w:val="0"/>
                <w:sz w:val="18"/>
                <w:szCs w:val="18"/>
              </w:rPr>
              <w:t>100/100</w:t>
            </w:r>
          </w:p>
        </w:tc>
        <w:tc>
          <w:tcPr>
            <w:tcW w:w="128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100/100</w:t>
            </w:r>
          </w:p>
        </w:tc>
        <w:tc>
          <w:tcPr>
            <w:tcW w:w="130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100/100</w:t>
            </w:r>
          </w:p>
        </w:tc>
      </w:tr>
      <w:tr>
        <w:tblPrEx>
          <w:tblCellMar>
            <w:top w:w="0" w:type="dxa"/>
            <w:left w:w="108" w:type="dxa"/>
            <w:bottom w:w="0" w:type="dxa"/>
            <w:right w:w="108" w:type="dxa"/>
          </w:tblCellMar>
        </w:tblPrEx>
        <w:trPr>
          <w:trHeight w:val="285" w:hRule="atLeast"/>
        </w:trPr>
        <w:tc>
          <w:tcPr>
            <w:tcW w:w="1125"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kern w:val="0"/>
                <w:sz w:val="18"/>
                <w:szCs w:val="18"/>
              </w:rPr>
            </w:pPr>
            <w:r>
              <w:rPr>
                <w:rFonts w:hint="eastAsia" w:ascii="仿宋" w:hAnsi="仿宋" w:eastAsia="仿宋" w:cs="仿宋"/>
                <w:i w:val="0"/>
                <w:iCs w:val="0"/>
                <w:color w:val="000000"/>
                <w:kern w:val="0"/>
                <w:sz w:val="20"/>
                <w:szCs w:val="20"/>
                <w:u w:val="none"/>
                <w:lang w:val="en-US" w:eastAsia="zh-CN" w:bidi="ar"/>
              </w:rPr>
              <w:t>面积大小</w:t>
            </w:r>
          </w:p>
        </w:tc>
        <w:tc>
          <w:tcPr>
            <w:tcW w:w="1283" w:type="pct"/>
            <w:tcBorders>
              <w:top w:val="nil"/>
              <w:left w:val="nil"/>
              <w:bottom w:val="single" w:color="auto" w:sz="4" w:space="0"/>
              <w:right w:val="single" w:color="auto" w:sz="4" w:space="0"/>
            </w:tcBorders>
            <w:shd w:val="clear" w:color="auto" w:fill="auto"/>
            <w:vAlign w:val="center"/>
          </w:tcPr>
          <w:p>
            <w:pPr>
              <w:widowControl/>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kern w:val="0"/>
                <w:sz w:val="18"/>
                <w:szCs w:val="18"/>
              </w:rPr>
              <w:t>100/</w:t>
            </w:r>
            <w:r>
              <w:rPr>
                <w:rFonts w:hint="eastAsia" w:ascii="仿宋_GB2312" w:hAnsi="仿宋_GB2312" w:eastAsia="仿宋_GB2312" w:cs="仿宋_GB2312"/>
                <w:kern w:val="0"/>
                <w:sz w:val="18"/>
                <w:szCs w:val="18"/>
                <w:lang w:val="en-US" w:eastAsia="zh-CN"/>
              </w:rPr>
              <w:t>98</w:t>
            </w:r>
          </w:p>
        </w:tc>
        <w:tc>
          <w:tcPr>
            <w:tcW w:w="128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100/100</w:t>
            </w:r>
          </w:p>
        </w:tc>
        <w:tc>
          <w:tcPr>
            <w:tcW w:w="130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100/100</w:t>
            </w:r>
          </w:p>
        </w:tc>
      </w:tr>
      <w:tr>
        <w:tblPrEx>
          <w:tblCellMar>
            <w:top w:w="0" w:type="dxa"/>
            <w:left w:w="108" w:type="dxa"/>
            <w:bottom w:w="0" w:type="dxa"/>
            <w:right w:w="108" w:type="dxa"/>
          </w:tblCellMar>
        </w:tblPrEx>
        <w:trPr>
          <w:trHeight w:val="285" w:hRule="atLeast"/>
        </w:trPr>
        <w:tc>
          <w:tcPr>
            <w:tcW w:w="11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kern w:val="0"/>
                <w:sz w:val="18"/>
                <w:szCs w:val="18"/>
              </w:rPr>
            </w:pPr>
            <w:r>
              <w:rPr>
                <w:rFonts w:hint="eastAsia" w:ascii="仿宋" w:hAnsi="仿宋" w:eastAsia="仿宋" w:cs="仿宋"/>
                <w:i w:val="0"/>
                <w:iCs w:val="0"/>
                <w:color w:val="000000"/>
                <w:kern w:val="0"/>
                <w:sz w:val="20"/>
                <w:szCs w:val="20"/>
                <w:u w:val="none"/>
                <w:lang w:val="en-US" w:eastAsia="zh-CN" w:bidi="ar"/>
              </w:rPr>
              <w:t>设备设施</w:t>
            </w:r>
          </w:p>
        </w:tc>
        <w:tc>
          <w:tcPr>
            <w:tcW w:w="128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100/100</w:t>
            </w:r>
          </w:p>
        </w:tc>
        <w:tc>
          <w:tcPr>
            <w:tcW w:w="128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100/100</w:t>
            </w:r>
          </w:p>
        </w:tc>
        <w:tc>
          <w:tcPr>
            <w:tcW w:w="130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100/100</w:t>
            </w:r>
          </w:p>
        </w:tc>
      </w:tr>
      <w:tr>
        <w:tblPrEx>
          <w:tblCellMar>
            <w:top w:w="0" w:type="dxa"/>
            <w:left w:w="108" w:type="dxa"/>
            <w:bottom w:w="0" w:type="dxa"/>
            <w:right w:w="108" w:type="dxa"/>
          </w:tblCellMar>
        </w:tblPrEx>
        <w:trPr>
          <w:trHeight w:val="285" w:hRule="atLeast"/>
        </w:trPr>
        <w:tc>
          <w:tcPr>
            <w:tcW w:w="11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kern w:val="0"/>
                <w:sz w:val="18"/>
                <w:szCs w:val="18"/>
              </w:rPr>
            </w:pPr>
            <w:r>
              <w:rPr>
                <w:rFonts w:hint="eastAsia" w:ascii="仿宋" w:hAnsi="仿宋" w:eastAsia="仿宋" w:cs="仿宋"/>
                <w:i w:val="0"/>
                <w:iCs w:val="0"/>
                <w:color w:val="000000"/>
                <w:kern w:val="0"/>
                <w:sz w:val="20"/>
                <w:szCs w:val="20"/>
                <w:u w:val="none"/>
                <w:lang w:val="en-US" w:eastAsia="zh-CN" w:bidi="ar"/>
              </w:rPr>
              <w:t>室内装修</w:t>
            </w:r>
          </w:p>
        </w:tc>
        <w:tc>
          <w:tcPr>
            <w:tcW w:w="128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_GB2312" w:hAnsi="仿宋_GB2312" w:eastAsia="仿宋_GB2312" w:cs="仿宋_GB2312"/>
                <w:color w:val="FF0000"/>
                <w:sz w:val="18"/>
                <w:szCs w:val="18"/>
                <w:lang w:val="en-US" w:eastAsia="zh-CN"/>
              </w:rPr>
            </w:pPr>
            <w:r>
              <w:rPr>
                <w:rFonts w:hint="eastAsia" w:ascii="仿宋_GB2312" w:hAnsi="仿宋_GB2312" w:eastAsia="仿宋_GB2312" w:cs="仿宋_GB2312"/>
                <w:kern w:val="0"/>
                <w:sz w:val="18"/>
                <w:szCs w:val="18"/>
              </w:rPr>
              <w:t>100/100</w:t>
            </w:r>
          </w:p>
        </w:tc>
        <w:tc>
          <w:tcPr>
            <w:tcW w:w="128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_GB2312" w:hAnsi="仿宋_GB2312" w:eastAsia="仿宋_GB2312" w:cs="仿宋_GB2312"/>
                <w:color w:val="FF0000"/>
                <w:sz w:val="18"/>
                <w:szCs w:val="18"/>
                <w:lang w:val="en-US" w:eastAsia="zh-CN"/>
              </w:rPr>
            </w:pPr>
            <w:r>
              <w:rPr>
                <w:rFonts w:hint="eastAsia" w:ascii="仿宋_GB2312" w:hAnsi="仿宋_GB2312" w:eastAsia="仿宋_GB2312" w:cs="仿宋_GB2312"/>
                <w:kern w:val="0"/>
                <w:sz w:val="18"/>
                <w:szCs w:val="18"/>
              </w:rPr>
              <w:t>100/100</w:t>
            </w:r>
          </w:p>
        </w:tc>
        <w:tc>
          <w:tcPr>
            <w:tcW w:w="130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_GB2312" w:hAnsi="仿宋_GB2312" w:eastAsia="仿宋_GB2312" w:cs="仿宋_GB2312"/>
                <w:color w:val="FF0000"/>
                <w:sz w:val="18"/>
                <w:szCs w:val="18"/>
                <w:lang w:val="en-US" w:eastAsia="zh-CN"/>
              </w:rPr>
            </w:pPr>
            <w:r>
              <w:rPr>
                <w:rFonts w:hint="eastAsia" w:ascii="仿宋_GB2312" w:hAnsi="仿宋_GB2312" w:eastAsia="仿宋_GB2312" w:cs="仿宋_GB2312"/>
                <w:kern w:val="0"/>
                <w:sz w:val="18"/>
                <w:szCs w:val="18"/>
              </w:rPr>
              <w:t>100/100</w:t>
            </w:r>
          </w:p>
        </w:tc>
      </w:tr>
      <w:tr>
        <w:tblPrEx>
          <w:tblCellMar>
            <w:top w:w="0" w:type="dxa"/>
            <w:left w:w="108" w:type="dxa"/>
            <w:bottom w:w="0" w:type="dxa"/>
            <w:right w:w="108" w:type="dxa"/>
          </w:tblCellMar>
        </w:tblPrEx>
        <w:trPr>
          <w:trHeight w:val="285" w:hRule="atLeast"/>
        </w:trPr>
        <w:tc>
          <w:tcPr>
            <w:tcW w:w="1125"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kern w:val="0"/>
                <w:sz w:val="18"/>
                <w:szCs w:val="18"/>
              </w:rPr>
            </w:pPr>
            <w:r>
              <w:rPr>
                <w:rFonts w:hint="eastAsia" w:ascii="仿宋" w:hAnsi="仿宋" w:eastAsia="仿宋" w:cs="仿宋"/>
                <w:i w:val="0"/>
                <w:iCs w:val="0"/>
                <w:color w:val="000000"/>
                <w:kern w:val="0"/>
                <w:sz w:val="20"/>
                <w:szCs w:val="20"/>
                <w:u w:val="none"/>
                <w:lang w:val="en-US" w:eastAsia="zh-CN" w:bidi="ar"/>
              </w:rPr>
              <w:t>物业配套管理</w:t>
            </w:r>
          </w:p>
        </w:tc>
        <w:tc>
          <w:tcPr>
            <w:tcW w:w="128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100/100</w:t>
            </w:r>
          </w:p>
        </w:tc>
        <w:tc>
          <w:tcPr>
            <w:tcW w:w="128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100/100</w:t>
            </w:r>
          </w:p>
        </w:tc>
        <w:tc>
          <w:tcPr>
            <w:tcW w:w="1302"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sz w:val="18"/>
                <w:szCs w:val="18"/>
              </w:rPr>
            </w:pPr>
            <w:r>
              <w:rPr>
                <w:rFonts w:hint="eastAsia" w:ascii="仿宋_GB2312" w:hAnsi="仿宋_GB2312" w:eastAsia="仿宋_GB2312" w:cs="仿宋_GB2312"/>
                <w:kern w:val="0"/>
                <w:sz w:val="18"/>
                <w:szCs w:val="18"/>
              </w:rPr>
              <w:t>100/100</w:t>
            </w:r>
          </w:p>
        </w:tc>
      </w:tr>
      <w:tr>
        <w:tblPrEx>
          <w:tblCellMar>
            <w:top w:w="0" w:type="dxa"/>
            <w:left w:w="108" w:type="dxa"/>
            <w:bottom w:w="0" w:type="dxa"/>
            <w:right w:w="108" w:type="dxa"/>
          </w:tblCellMar>
        </w:tblPrEx>
        <w:trPr>
          <w:trHeight w:val="243" w:hRule="atLeast"/>
        </w:trPr>
        <w:tc>
          <w:tcPr>
            <w:tcW w:w="112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综合调整系数</w:t>
            </w:r>
          </w:p>
        </w:tc>
        <w:tc>
          <w:tcPr>
            <w:tcW w:w="2557" w:type="dxa"/>
            <w:tcBorders>
              <w:top w:val="nil"/>
              <w:left w:val="nil"/>
              <w:bottom w:val="single" w:color="auto" w:sz="4" w:space="0"/>
              <w:right w:val="single" w:color="auto" w:sz="4" w:space="0"/>
            </w:tcBorders>
            <w:shd w:val="clear" w:color="auto" w:fill="auto"/>
            <w:vAlign w:val="center"/>
          </w:tcPr>
          <w:p>
            <w:pPr>
              <w:widowControl/>
              <w:jc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1.0204</w:t>
            </w:r>
          </w:p>
        </w:tc>
        <w:tc>
          <w:tcPr>
            <w:tcW w:w="2569" w:type="dxa"/>
            <w:tcBorders>
              <w:top w:val="nil"/>
              <w:left w:val="nil"/>
              <w:bottom w:val="single" w:color="auto" w:sz="4" w:space="0"/>
              <w:right w:val="single" w:color="auto" w:sz="4" w:space="0"/>
            </w:tcBorders>
            <w:shd w:val="clear" w:color="auto" w:fill="auto"/>
            <w:vAlign w:val="center"/>
          </w:tcPr>
          <w:p>
            <w:pPr>
              <w:widowControl/>
              <w:jc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w:t>
            </w:r>
          </w:p>
        </w:tc>
        <w:tc>
          <w:tcPr>
            <w:tcW w:w="2595" w:type="dxa"/>
            <w:tcBorders>
              <w:top w:val="nil"/>
              <w:left w:val="nil"/>
              <w:bottom w:val="single" w:color="auto" w:sz="4" w:space="0"/>
              <w:right w:val="single" w:color="auto" w:sz="4" w:space="0"/>
            </w:tcBorders>
            <w:shd w:val="clear" w:color="auto" w:fill="auto"/>
            <w:vAlign w:val="center"/>
          </w:tcPr>
          <w:p>
            <w:pPr>
              <w:widowControl/>
              <w:jc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w:t>
            </w:r>
          </w:p>
        </w:tc>
      </w:tr>
      <w:tr>
        <w:tblPrEx>
          <w:tblCellMar>
            <w:top w:w="0" w:type="dxa"/>
            <w:left w:w="108" w:type="dxa"/>
            <w:bottom w:w="0" w:type="dxa"/>
            <w:right w:w="108" w:type="dxa"/>
          </w:tblCellMar>
        </w:tblPrEx>
        <w:trPr>
          <w:trHeight w:val="345" w:hRule="atLeast"/>
        </w:trPr>
        <w:tc>
          <w:tcPr>
            <w:tcW w:w="112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比准价格</w:t>
            </w:r>
          </w:p>
        </w:tc>
        <w:tc>
          <w:tcPr>
            <w:tcW w:w="1283"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sz w:val="18"/>
                <w:szCs w:val="18"/>
              </w:rPr>
            </w:pPr>
            <w:r>
              <w:rPr>
                <w:rFonts w:hint="eastAsia" w:ascii="仿宋" w:hAnsi="仿宋" w:eastAsia="仿宋" w:cs="仿宋"/>
                <w:i w:val="0"/>
                <w:iCs w:val="0"/>
                <w:color w:val="000000"/>
                <w:kern w:val="0"/>
                <w:sz w:val="20"/>
                <w:szCs w:val="20"/>
                <w:u w:val="none"/>
                <w:lang w:val="en-US" w:eastAsia="zh-CN" w:bidi="ar"/>
              </w:rPr>
              <w:t>12</w:t>
            </w:r>
          </w:p>
        </w:tc>
        <w:tc>
          <w:tcPr>
            <w:tcW w:w="1289"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sz w:val="18"/>
                <w:szCs w:val="18"/>
                <w:lang w:val="en-US"/>
              </w:rPr>
            </w:pPr>
            <w:r>
              <w:rPr>
                <w:rFonts w:hint="eastAsia" w:ascii="仿宋" w:hAnsi="仿宋" w:eastAsia="仿宋" w:cs="仿宋"/>
                <w:i w:val="0"/>
                <w:iCs w:val="0"/>
                <w:color w:val="000000"/>
                <w:kern w:val="0"/>
                <w:sz w:val="20"/>
                <w:szCs w:val="20"/>
                <w:u w:val="none"/>
                <w:lang w:val="en-US" w:eastAsia="zh-CN" w:bidi="ar"/>
              </w:rPr>
              <w:t>13</w:t>
            </w:r>
          </w:p>
        </w:tc>
        <w:tc>
          <w:tcPr>
            <w:tcW w:w="130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仿宋_GB2312" w:eastAsia="仿宋_GB2312" w:cs="仿宋_GB2312"/>
                <w:sz w:val="18"/>
                <w:szCs w:val="18"/>
              </w:rPr>
            </w:pPr>
            <w:r>
              <w:rPr>
                <w:rFonts w:hint="eastAsia" w:ascii="仿宋" w:hAnsi="仿宋" w:eastAsia="仿宋" w:cs="仿宋"/>
                <w:i w:val="0"/>
                <w:iCs w:val="0"/>
                <w:color w:val="000000"/>
                <w:kern w:val="0"/>
                <w:sz w:val="20"/>
                <w:szCs w:val="20"/>
                <w:u w:val="none"/>
                <w:lang w:val="en-US" w:eastAsia="zh-CN" w:bidi="ar"/>
              </w:rPr>
              <w:t>12</w:t>
            </w:r>
          </w:p>
        </w:tc>
      </w:tr>
      <w:tr>
        <w:tblPrEx>
          <w:tblCellMar>
            <w:top w:w="0" w:type="dxa"/>
            <w:left w:w="108" w:type="dxa"/>
            <w:bottom w:w="0" w:type="dxa"/>
            <w:right w:w="108" w:type="dxa"/>
          </w:tblCellMar>
        </w:tblPrEx>
        <w:trPr>
          <w:trHeight w:val="285" w:hRule="atLeast"/>
        </w:trPr>
        <w:tc>
          <w:tcPr>
            <w:tcW w:w="112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权值</w:t>
            </w:r>
          </w:p>
        </w:tc>
        <w:tc>
          <w:tcPr>
            <w:tcW w:w="1283"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1/3</w:t>
            </w:r>
          </w:p>
        </w:tc>
        <w:tc>
          <w:tcPr>
            <w:tcW w:w="1289"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1/3</w:t>
            </w:r>
          </w:p>
        </w:tc>
        <w:tc>
          <w:tcPr>
            <w:tcW w:w="1302" w:type="pct"/>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1/3</w:t>
            </w:r>
          </w:p>
        </w:tc>
      </w:tr>
      <w:tr>
        <w:tblPrEx>
          <w:tblCellMar>
            <w:top w:w="0" w:type="dxa"/>
            <w:left w:w="108" w:type="dxa"/>
            <w:bottom w:w="0" w:type="dxa"/>
            <w:right w:w="108" w:type="dxa"/>
          </w:tblCellMar>
        </w:tblPrEx>
        <w:trPr>
          <w:trHeight w:val="285" w:hRule="atLeast"/>
        </w:trPr>
        <w:tc>
          <w:tcPr>
            <w:tcW w:w="112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月租金单价（元/㎡）</w:t>
            </w:r>
          </w:p>
        </w:tc>
        <w:tc>
          <w:tcPr>
            <w:tcW w:w="3874"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kern w:val="0"/>
                <w:sz w:val="18"/>
                <w:szCs w:val="18"/>
                <w:lang w:val="en-US" w:eastAsia="zh-CN"/>
              </w:rPr>
            </w:pPr>
            <w:r>
              <w:rPr>
                <w:rFonts w:hint="eastAsia" w:ascii="仿宋_GB2312" w:hAnsi="仿宋_GB2312" w:eastAsia="仿宋_GB2312" w:cs="仿宋_GB2312"/>
                <w:kern w:val="0"/>
                <w:sz w:val="18"/>
                <w:szCs w:val="18"/>
                <w:lang w:val="en-US" w:eastAsia="zh-CN"/>
              </w:rPr>
              <w:t>12.00</w:t>
            </w:r>
          </w:p>
        </w:tc>
      </w:tr>
    </w:tbl>
    <w:p>
      <w:pPr>
        <w:tabs>
          <w:tab w:val="left" w:pos="0"/>
        </w:tabs>
        <w:adjustRightInd w:val="0"/>
        <w:snapToGrid w:val="0"/>
        <w:spacing w:line="360" w:lineRule="auto"/>
        <w:ind w:firstLine="674" w:firstLineChars="200"/>
        <w:rPr>
          <w:rFonts w:ascii="仿宋_GB2312" w:eastAsia="仿宋_GB2312"/>
          <w:snapToGrid w:val="0"/>
          <w:kern w:val="0"/>
          <w:sz w:val="28"/>
          <w:szCs w:val="28"/>
        </w:rPr>
      </w:pPr>
      <w:r>
        <w:rPr>
          <w:rFonts w:hint="eastAsia" w:ascii="仿宋_GB2312" w:eastAsia="仿宋_GB2312"/>
          <w:snapToGrid w:val="0"/>
          <w:kern w:val="0"/>
          <w:sz w:val="28"/>
          <w:szCs w:val="28"/>
        </w:rPr>
        <w:t>从上表可以看出，三个比准价格相差幅度不大，故我们采用三个比准价格</w:t>
      </w:r>
    </w:p>
    <w:p>
      <w:pPr>
        <w:tabs>
          <w:tab w:val="left" w:pos="0"/>
        </w:tabs>
        <w:adjustRightInd w:val="0"/>
        <w:snapToGrid w:val="0"/>
        <w:spacing w:line="360" w:lineRule="auto"/>
        <w:ind w:firstLine="337" w:firstLineChars="100"/>
      </w:pPr>
      <w:r>
        <w:rPr>
          <w:rFonts w:hint="eastAsia" w:ascii="仿宋_GB2312" w:eastAsia="仿宋_GB2312"/>
          <w:snapToGrid w:val="0"/>
          <w:kern w:val="0"/>
          <w:sz w:val="28"/>
          <w:szCs w:val="28"/>
        </w:rPr>
        <w:t>的简单算术平均数作为估价对象的评估结果，则有：</w:t>
      </w:r>
    </w:p>
    <w:p>
      <w:pPr>
        <w:tabs>
          <w:tab w:val="left" w:pos="0"/>
        </w:tabs>
        <w:adjustRightInd w:val="0"/>
        <w:snapToGrid w:val="0"/>
        <w:spacing w:line="360" w:lineRule="auto"/>
        <w:ind w:firstLine="674" w:firstLineChars="200"/>
        <w:rPr>
          <w:rFonts w:hint="eastAsia" w:ascii="仿宋_GB2312" w:eastAsia="仿宋_GB2312"/>
          <w:snapToGrid w:val="0"/>
          <w:kern w:val="0"/>
          <w:sz w:val="28"/>
          <w:szCs w:val="28"/>
        </w:rPr>
      </w:pPr>
      <w:r>
        <w:rPr>
          <w:rFonts w:hint="eastAsia" w:ascii="仿宋_GB2312" w:eastAsia="仿宋_GB2312"/>
          <w:snapToGrid w:val="0"/>
          <w:kern w:val="0"/>
          <w:sz w:val="28"/>
          <w:szCs w:val="28"/>
        </w:rPr>
        <w:t>估价对象的月租金单价 =(</w:t>
      </w:r>
      <w:r>
        <w:rPr>
          <w:rFonts w:hint="eastAsia" w:ascii="仿宋_GB2312" w:eastAsia="仿宋_GB2312"/>
          <w:snapToGrid w:val="0"/>
          <w:kern w:val="0"/>
          <w:sz w:val="28"/>
          <w:szCs w:val="28"/>
          <w:lang w:val="en-US" w:eastAsia="zh-CN"/>
        </w:rPr>
        <w:t>12+13+12</w:t>
      </w:r>
      <w:r>
        <w:rPr>
          <w:rFonts w:hint="eastAsia" w:ascii="仿宋_GB2312" w:eastAsia="仿宋_GB2312"/>
          <w:snapToGrid w:val="0"/>
          <w:kern w:val="0"/>
          <w:sz w:val="28"/>
          <w:szCs w:val="28"/>
        </w:rPr>
        <w:t>)÷3</w:t>
      </w:r>
    </w:p>
    <w:p>
      <w:pPr>
        <w:tabs>
          <w:tab w:val="left" w:pos="0"/>
        </w:tabs>
        <w:adjustRightInd w:val="0"/>
        <w:snapToGrid w:val="0"/>
        <w:spacing w:line="360" w:lineRule="auto"/>
        <w:ind w:firstLine="674" w:firstLineChars="200"/>
        <w:rPr>
          <w:rFonts w:hint="eastAsia"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12</w:t>
      </w:r>
      <w:r>
        <w:rPr>
          <w:rFonts w:hint="eastAsia" w:ascii="仿宋_GB2312" w:eastAsia="仿宋_GB2312"/>
          <w:snapToGrid w:val="0"/>
          <w:kern w:val="0"/>
          <w:sz w:val="28"/>
          <w:szCs w:val="28"/>
        </w:rPr>
        <w:t>元/㎡（取整至个位）</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⑴ 计算净收益</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根据《房地产估价规范》的规定，出租型房地产的净收益为租赁收入扣除维修费、管理费、保险费和税金等费用。</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① 求取租赁收入</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租赁收入包括有效毛租金收入和租赁保证金、押金等的利息收入。</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1. 确定有效毛租金收入</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估价人员经过</w:t>
      </w:r>
      <w:r>
        <w:rPr>
          <w:rFonts w:hint="eastAsia" w:ascii="仿宋_GB2312" w:eastAsia="仿宋_GB2312"/>
          <w:snapToGrid w:val="0"/>
          <w:kern w:val="0"/>
          <w:sz w:val="28"/>
          <w:szCs w:val="28"/>
          <w:lang w:eastAsia="zh-CN"/>
        </w:rPr>
        <w:t>测算</w:t>
      </w:r>
      <w:r>
        <w:rPr>
          <w:rFonts w:hint="eastAsia" w:ascii="仿宋_GB2312" w:eastAsia="仿宋_GB2312"/>
          <w:snapToGrid w:val="0"/>
          <w:kern w:val="0"/>
          <w:sz w:val="28"/>
          <w:szCs w:val="28"/>
        </w:rPr>
        <w:t>为</w:t>
      </w:r>
      <w:r>
        <w:rPr>
          <w:rFonts w:hint="eastAsia" w:ascii="仿宋_GB2312" w:eastAsia="仿宋_GB2312"/>
          <w:snapToGrid w:val="0"/>
          <w:kern w:val="0"/>
          <w:sz w:val="28"/>
          <w:szCs w:val="28"/>
          <w:lang w:val="en-US" w:eastAsia="zh-CN"/>
        </w:rPr>
        <w:t>12</w:t>
      </w:r>
      <w:r>
        <w:rPr>
          <w:rFonts w:hint="eastAsia" w:ascii="仿宋_GB2312" w:eastAsia="仿宋_GB2312"/>
          <w:snapToGrid w:val="0"/>
          <w:kern w:val="0"/>
          <w:sz w:val="28"/>
          <w:szCs w:val="28"/>
        </w:rPr>
        <w:t>.00元/月/平方米。</w:t>
      </w:r>
    </w:p>
    <w:p>
      <w:pPr>
        <w:tabs>
          <w:tab w:val="left" w:pos="0"/>
        </w:tabs>
        <w:adjustRightInd w:val="0"/>
        <w:snapToGrid w:val="0"/>
        <w:spacing w:line="480" w:lineRule="exact"/>
        <w:ind w:firstLine="480"/>
        <w:rPr>
          <w:rFonts w:ascii="仿宋_GB2312" w:eastAsia="仿宋_GB2312"/>
          <w:snapToGrid w:val="0"/>
          <w:color w:val="000000"/>
          <w:kern w:val="0"/>
          <w:sz w:val="28"/>
          <w:szCs w:val="28"/>
        </w:rPr>
      </w:pPr>
      <w:r>
        <w:rPr>
          <w:rFonts w:hint="eastAsia" w:ascii="仿宋_GB2312" w:eastAsia="仿宋_GB2312"/>
          <w:snapToGrid w:val="0"/>
          <w:kern w:val="0"/>
          <w:sz w:val="28"/>
          <w:szCs w:val="28"/>
        </w:rPr>
        <w:t>租金损失主要是空置率、逾期交纳租金等原因造成,由于该区域租赁市场较为规范、活跃,租赁市场现状为供求量低于市场需求量，综合市场状况后考虑，决定此次评估租金损失为</w:t>
      </w:r>
      <w:r>
        <w:rPr>
          <w:rFonts w:hint="eastAsia" w:ascii="仿宋_GB2312" w:eastAsia="仿宋_GB2312"/>
          <w:snapToGrid w:val="0"/>
          <w:kern w:val="0"/>
          <w:sz w:val="28"/>
          <w:szCs w:val="28"/>
          <w:lang w:val="en-US" w:eastAsia="zh-CN"/>
        </w:rPr>
        <w:t>2</w:t>
      </w:r>
      <w:r>
        <w:rPr>
          <w:rFonts w:hint="eastAsia" w:ascii="仿宋_GB2312" w:eastAsia="仿宋_GB2312"/>
          <w:snapToGrid w:val="0"/>
          <w:kern w:val="0"/>
          <w:sz w:val="28"/>
          <w:szCs w:val="28"/>
        </w:rPr>
        <w:t>%，</w:t>
      </w:r>
      <w:r>
        <w:rPr>
          <w:rFonts w:hint="eastAsia" w:ascii="仿宋_GB2312" w:eastAsia="仿宋_GB2312"/>
          <w:snapToGrid w:val="0"/>
          <w:color w:val="000000"/>
          <w:kern w:val="0"/>
          <w:sz w:val="28"/>
          <w:szCs w:val="28"/>
        </w:rPr>
        <w:t>则其年有效潜在毛收入为：</w:t>
      </w:r>
    </w:p>
    <w:p>
      <w:pPr>
        <w:tabs>
          <w:tab w:val="left" w:pos="0"/>
        </w:tabs>
        <w:adjustRightInd w:val="0"/>
        <w:snapToGrid w:val="0"/>
        <w:spacing w:line="480" w:lineRule="exact"/>
        <w:ind w:firstLine="480"/>
        <w:rPr>
          <w:rFonts w:ascii="仿宋_GB2312" w:eastAsia="仿宋_GB2312"/>
          <w:snapToGrid w:val="0"/>
          <w:color w:val="000000"/>
          <w:kern w:val="0"/>
          <w:sz w:val="28"/>
          <w:szCs w:val="28"/>
        </w:rPr>
      </w:pPr>
      <w:r>
        <w:rPr>
          <w:rFonts w:hint="eastAsia" w:ascii="仿宋_GB2312" w:eastAsia="仿宋_GB2312"/>
          <w:snapToGrid w:val="0"/>
          <w:color w:val="000000"/>
          <w:kern w:val="0"/>
          <w:sz w:val="28"/>
          <w:szCs w:val="28"/>
        </w:rPr>
        <w:t>年有效潜在毛收入 =月租金×（1－空置率）×12个月</w:t>
      </w:r>
    </w:p>
    <w:p>
      <w:pPr>
        <w:tabs>
          <w:tab w:val="left" w:pos="0"/>
        </w:tabs>
        <w:adjustRightInd w:val="0"/>
        <w:snapToGrid w:val="0"/>
        <w:spacing w:line="480" w:lineRule="exact"/>
        <w:ind w:firstLine="2793" w:firstLineChars="829"/>
        <w:rPr>
          <w:rFonts w:ascii="宋体" w:hAnsi="宋体" w:cs="宋体"/>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12.00</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·月×（1－</w:t>
      </w:r>
      <w:r>
        <w:rPr>
          <w:rFonts w:hint="eastAsia" w:ascii="仿宋_GB2312" w:eastAsia="仿宋_GB2312"/>
          <w:snapToGrid w:val="0"/>
          <w:kern w:val="0"/>
          <w:sz w:val="28"/>
          <w:szCs w:val="28"/>
          <w:lang w:val="en-US" w:eastAsia="zh-CN"/>
        </w:rPr>
        <w:t>2</w:t>
      </w:r>
      <w:r>
        <w:rPr>
          <w:rFonts w:hint="eastAsia" w:ascii="仿宋_GB2312" w:eastAsia="仿宋_GB2312"/>
          <w:snapToGrid w:val="0"/>
          <w:kern w:val="0"/>
          <w:sz w:val="28"/>
          <w:szCs w:val="28"/>
        </w:rPr>
        <w:t>%）×12个月</w:t>
      </w:r>
    </w:p>
    <w:p>
      <w:pPr>
        <w:tabs>
          <w:tab w:val="left" w:pos="0"/>
        </w:tabs>
        <w:adjustRightInd w:val="0"/>
        <w:snapToGrid w:val="0"/>
        <w:spacing w:line="480" w:lineRule="exact"/>
        <w:ind w:firstLine="2786" w:firstLineChars="827"/>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 xml:space="preserve">141.12 </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2. 确定租赁保证金、押金等的利息收入</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按照估价对象所在区域市场的实际情况，保证金、押金一般为两个月的租金，若租期按一年计，则估价对象的保证金、押金利息为：</w:t>
      </w:r>
    </w:p>
    <w:p>
      <w:pPr>
        <w:tabs>
          <w:tab w:val="left" w:pos="0"/>
        </w:tabs>
        <w:adjustRightInd w:val="0"/>
        <w:snapToGrid w:val="0"/>
        <w:spacing w:line="480" w:lineRule="exact"/>
        <w:ind w:firstLine="476"/>
        <w:rPr>
          <w:rFonts w:ascii="仿宋_GB2312" w:eastAsia="仿宋_GB2312"/>
          <w:snapToGrid w:val="0"/>
          <w:kern w:val="0"/>
          <w:sz w:val="28"/>
          <w:szCs w:val="28"/>
        </w:rPr>
      </w:pPr>
      <w:r>
        <w:rPr>
          <w:rFonts w:hint="eastAsia" w:ascii="仿宋_GB2312" w:eastAsia="仿宋_GB2312"/>
          <w:snapToGrid w:val="0"/>
          <w:kern w:val="0"/>
          <w:sz w:val="28"/>
          <w:szCs w:val="28"/>
        </w:rPr>
        <w:t>利息=月租金×押金月数×（1－空置率）×存款利率</w:t>
      </w:r>
    </w:p>
    <w:p>
      <w:pPr>
        <w:tabs>
          <w:tab w:val="left" w:pos="0"/>
        </w:tabs>
        <w:adjustRightInd w:val="0"/>
        <w:snapToGrid w:val="0"/>
        <w:spacing w:line="480" w:lineRule="exact"/>
        <w:ind w:firstLine="2793" w:firstLineChars="829"/>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12.00</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×2×（1－</w:t>
      </w:r>
      <w:r>
        <w:rPr>
          <w:rFonts w:hint="eastAsia" w:ascii="仿宋_GB2312" w:eastAsia="仿宋_GB2312"/>
          <w:snapToGrid w:val="0"/>
          <w:kern w:val="0"/>
          <w:sz w:val="28"/>
          <w:szCs w:val="28"/>
          <w:lang w:val="en-US" w:eastAsia="zh-CN"/>
        </w:rPr>
        <w:t>2</w:t>
      </w:r>
      <w:r>
        <w:rPr>
          <w:rFonts w:hint="eastAsia" w:ascii="仿宋_GB2312" w:eastAsia="仿宋_GB2312"/>
          <w:snapToGrid w:val="0"/>
          <w:kern w:val="0"/>
          <w:sz w:val="28"/>
          <w:szCs w:val="28"/>
        </w:rPr>
        <w:t>%）×1.5%</w:t>
      </w:r>
    </w:p>
    <w:p>
      <w:pPr>
        <w:tabs>
          <w:tab w:val="left" w:pos="0"/>
        </w:tabs>
        <w:adjustRightInd w:val="0"/>
        <w:snapToGrid w:val="0"/>
        <w:spacing w:line="480" w:lineRule="exact"/>
        <w:ind w:firstLine="2793" w:firstLineChars="829"/>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0.35</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3. 确定估价对象的年租赁收入</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通过上述分析计算，可以确定估价对象的年租赁收入为：</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年租赁收入 =年有效潜在毛收入+保证金、押金利息</w:t>
      </w:r>
    </w:p>
    <w:p>
      <w:pPr>
        <w:tabs>
          <w:tab w:val="left" w:pos="0"/>
        </w:tabs>
        <w:adjustRightInd w:val="0"/>
        <w:snapToGrid w:val="0"/>
        <w:spacing w:line="480" w:lineRule="exact"/>
        <w:ind w:firstLine="1967" w:firstLineChars="584"/>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141.12</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0.35</w:t>
      </w:r>
    </w:p>
    <w:p>
      <w:pPr>
        <w:tabs>
          <w:tab w:val="left" w:pos="0"/>
        </w:tabs>
        <w:adjustRightInd w:val="0"/>
        <w:snapToGrid w:val="0"/>
        <w:spacing w:line="480" w:lineRule="exact"/>
        <w:ind w:firstLine="1967" w:firstLineChars="584"/>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 xml:space="preserve">141.47 </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② 确定维修费、管理费、保险费和税金等费用</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按照《房地产估价规范》的规定，维修费、管理费、保险费和税金等四项费用应参照市场上类似房地产的一般费用水平进行估算，即应采用客观费用作为估价依据。</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ⅰ、维修费</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维修费指为保障房屋正常使用每年需支付的修缮费。</w:t>
      </w:r>
    </w:p>
    <w:p>
      <w:pPr>
        <w:tabs>
          <w:tab w:val="left" w:pos="0"/>
        </w:tabs>
        <w:adjustRightInd w:val="0"/>
        <w:snapToGrid w:val="0"/>
        <w:spacing w:line="480" w:lineRule="exact"/>
        <w:ind w:firstLine="480"/>
        <w:rPr>
          <w:rFonts w:ascii="仿宋_GB2312" w:eastAsia="仿宋_GB2312"/>
          <w:snapToGrid w:val="0"/>
          <w:color w:val="000000"/>
          <w:kern w:val="0"/>
          <w:sz w:val="28"/>
          <w:szCs w:val="28"/>
        </w:rPr>
      </w:pPr>
      <w:r>
        <w:rPr>
          <w:rFonts w:hint="eastAsia" w:ascii="仿宋_GB2312" w:eastAsia="仿宋_GB2312"/>
          <w:snapToGrid w:val="0"/>
          <w:color w:val="000000"/>
          <w:kern w:val="0"/>
          <w:sz w:val="28"/>
          <w:szCs w:val="28"/>
        </w:rPr>
        <w:t>维修费一般按租金收入的一定比例进行计算，根据当地市场情况，结合估价对象的具体状况，确定比例为1%。则：</w:t>
      </w:r>
    </w:p>
    <w:p>
      <w:pPr>
        <w:tabs>
          <w:tab w:val="left" w:pos="0"/>
        </w:tabs>
        <w:adjustRightInd w:val="0"/>
        <w:snapToGrid w:val="0"/>
        <w:spacing w:line="480" w:lineRule="exact"/>
        <w:ind w:firstLine="480"/>
        <w:rPr>
          <w:rFonts w:ascii="仿宋_GB2312" w:eastAsia="仿宋_GB2312"/>
          <w:snapToGrid w:val="0"/>
          <w:color w:val="000000"/>
          <w:kern w:val="0"/>
          <w:sz w:val="28"/>
          <w:szCs w:val="28"/>
        </w:rPr>
      </w:pPr>
      <w:r>
        <w:rPr>
          <w:rFonts w:hint="eastAsia" w:ascii="仿宋_GB2312" w:eastAsia="仿宋_GB2312"/>
          <w:snapToGrid w:val="0"/>
          <w:color w:val="000000"/>
          <w:kern w:val="0"/>
          <w:sz w:val="28"/>
          <w:szCs w:val="28"/>
        </w:rPr>
        <w:t>年维修费 =房地出租年租金收益×1%</w:t>
      </w:r>
    </w:p>
    <w:p>
      <w:pPr>
        <w:tabs>
          <w:tab w:val="left" w:pos="0"/>
        </w:tabs>
        <w:adjustRightInd w:val="0"/>
        <w:snapToGrid w:val="0"/>
        <w:spacing w:line="480" w:lineRule="exact"/>
        <w:ind w:firstLine="1771" w:firstLineChars="526"/>
        <w:rPr>
          <w:rFonts w:ascii="仿宋_GB2312" w:eastAsia="仿宋_GB2312"/>
          <w:snapToGrid w:val="0"/>
          <w:color w:val="000000"/>
          <w:kern w:val="0"/>
          <w:sz w:val="28"/>
          <w:szCs w:val="28"/>
        </w:rPr>
      </w:pPr>
      <w:r>
        <w:rPr>
          <w:rFonts w:hint="eastAsia" w:ascii="仿宋_GB2312" w:eastAsia="仿宋_GB2312"/>
          <w:snapToGrid w:val="0"/>
          <w:color w:val="000000"/>
          <w:kern w:val="0"/>
          <w:sz w:val="28"/>
          <w:szCs w:val="28"/>
        </w:rPr>
        <w:t>=</w:t>
      </w:r>
      <w:r>
        <w:rPr>
          <w:rFonts w:hint="eastAsia" w:ascii="仿宋_GB2312" w:eastAsia="仿宋_GB2312"/>
          <w:snapToGrid w:val="0"/>
          <w:kern w:val="0"/>
          <w:sz w:val="28"/>
          <w:szCs w:val="28"/>
          <w:lang w:val="en-US" w:eastAsia="zh-CN"/>
        </w:rPr>
        <w:t>141.12</w:t>
      </w:r>
      <w:r>
        <w:rPr>
          <w:rFonts w:hint="eastAsia" w:ascii="仿宋_GB2312" w:eastAsia="仿宋_GB2312"/>
          <w:snapToGrid w:val="0"/>
          <w:color w:val="000000"/>
          <w:kern w:val="0"/>
          <w:sz w:val="28"/>
          <w:szCs w:val="28"/>
        </w:rPr>
        <w:t>×1%</w:t>
      </w:r>
    </w:p>
    <w:p>
      <w:pPr>
        <w:tabs>
          <w:tab w:val="left" w:pos="0"/>
        </w:tabs>
        <w:adjustRightInd w:val="0"/>
        <w:snapToGrid w:val="0"/>
        <w:spacing w:line="480" w:lineRule="exact"/>
        <w:ind w:firstLine="1771" w:firstLineChars="526"/>
        <w:rPr>
          <w:rFonts w:ascii="仿宋_GB2312" w:eastAsia="仿宋_GB2312"/>
          <w:snapToGrid w:val="0"/>
          <w:color w:val="000000"/>
          <w:kern w:val="0"/>
          <w:sz w:val="28"/>
          <w:szCs w:val="28"/>
        </w:rPr>
      </w:pPr>
      <w:r>
        <w:rPr>
          <w:rFonts w:hint="eastAsia" w:ascii="仿宋_GB2312" w:eastAsia="仿宋_GB2312"/>
          <w:snapToGrid w:val="0"/>
          <w:color w:val="000000"/>
          <w:kern w:val="0"/>
          <w:sz w:val="28"/>
          <w:szCs w:val="28"/>
        </w:rPr>
        <w:t>=</w:t>
      </w:r>
      <w:r>
        <w:rPr>
          <w:rFonts w:hint="eastAsia" w:ascii="仿宋_GB2312" w:eastAsia="仿宋_GB2312"/>
          <w:snapToGrid w:val="0"/>
          <w:color w:val="000000"/>
          <w:kern w:val="0"/>
          <w:sz w:val="28"/>
          <w:szCs w:val="28"/>
          <w:lang w:val="en-US" w:eastAsia="zh-CN"/>
        </w:rPr>
        <w:t>1.41</w:t>
      </w:r>
      <w:r>
        <w:rPr>
          <w:rFonts w:hint="eastAsia" w:ascii="仿宋_GB2312" w:eastAsia="仿宋_GB2312"/>
          <w:snapToGrid w:val="0"/>
          <w:color w:val="000000"/>
          <w:kern w:val="0"/>
          <w:sz w:val="28"/>
          <w:szCs w:val="28"/>
        </w:rPr>
        <w:t>（元</w:t>
      </w:r>
      <w:r>
        <w:rPr>
          <w:rFonts w:hint="eastAsia" w:ascii="仿宋_GB2312" w:eastAsia="仿宋_GB2312"/>
          <w:snapToGrid w:val="0"/>
          <w:kern w:val="0"/>
          <w:sz w:val="28"/>
          <w:szCs w:val="28"/>
        </w:rPr>
        <w:t>/</w:t>
      </w:r>
      <w:r>
        <w:rPr>
          <w:rFonts w:hint="eastAsia" w:ascii="宋体" w:hAnsi="宋体" w:cs="宋体"/>
          <w:snapToGrid w:val="0"/>
          <w:kern w:val="0"/>
          <w:sz w:val="28"/>
          <w:szCs w:val="28"/>
        </w:rPr>
        <w:t>㎡</w:t>
      </w:r>
      <w:r>
        <w:rPr>
          <w:rFonts w:hint="eastAsia" w:ascii="仿宋_GB2312" w:eastAsia="仿宋_GB2312"/>
          <w:snapToGrid w:val="0"/>
          <w:color w:val="00000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2.年管理费：管理费是指对出租房屋进行必要管理所需的费用，分为两部分：一是出租经营过程中消耗品价值的货币支出；另一是管理人员的工资支出，一般取有效毛收入的1%-5%。根据估价师实地勘察和对市场现状的分析，本次估价测算过程中的管理费取房地产出租年租金收入的</w:t>
      </w:r>
      <w:r>
        <w:rPr>
          <w:rFonts w:hint="eastAsia" w:ascii="仿宋_GB2312" w:eastAsia="仿宋_GB2312"/>
          <w:snapToGrid w:val="0"/>
          <w:kern w:val="0"/>
          <w:sz w:val="28"/>
          <w:szCs w:val="28"/>
          <w:lang w:val="en-US" w:eastAsia="zh-CN"/>
        </w:rPr>
        <w:t>3</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年管理费 =房地出租年租金收入×管理费比率</w:t>
      </w:r>
    </w:p>
    <w:p>
      <w:pPr>
        <w:tabs>
          <w:tab w:val="left" w:pos="0"/>
        </w:tabs>
        <w:adjustRightInd w:val="0"/>
        <w:snapToGrid w:val="0"/>
        <w:spacing w:line="480" w:lineRule="exact"/>
        <w:ind w:firstLine="1802" w:firstLineChars="535"/>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141.12</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3</w:t>
      </w:r>
      <w:r>
        <w:rPr>
          <w:rFonts w:hint="eastAsia" w:ascii="仿宋_GB2312" w:eastAsia="仿宋_GB2312"/>
          <w:snapToGrid w:val="0"/>
          <w:kern w:val="0"/>
          <w:sz w:val="28"/>
          <w:szCs w:val="28"/>
        </w:rPr>
        <w:t>%</w:t>
      </w:r>
    </w:p>
    <w:p>
      <w:pPr>
        <w:tabs>
          <w:tab w:val="left" w:pos="0"/>
        </w:tabs>
        <w:adjustRightInd w:val="0"/>
        <w:snapToGrid w:val="0"/>
        <w:spacing w:line="480" w:lineRule="exact"/>
        <w:ind w:firstLine="1802" w:firstLineChars="535"/>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4.23</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3.保险费：保险费是指房屋所有权人为使自己的房产避免意外损失而向保险公司支付的费用。根据保险公司的有关规定及估价人员根据估价对象实际状况的判断，本次评估保险费率取房地产出租年租金收入的0.5%。</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年保险费=房地出租年租金收入×保险费比率</w:t>
      </w:r>
    </w:p>
    <w:p>
      <w:pPr>
        <w:tabs>
          <w:tab w:val="left" w:pos="0"/>
        </w:tabs>
        <w:adjustRightInd w:val="0"/>
        <w:snapToGrid w:val="0"/>
        <w:spacing w:line="480" w:lineRule="exact"/>
        <w:ind w:firstLine="1771" w:firstLineChars="526"/>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w:t>
      </w:r>
      <w:r>
        <w:rPr>
          <w:rFonts w:hint="eastAsia" w:ascii="仿宋_GB2312" w:eastAsia="仿宋_GB2312" w:cs="Times New Roman"/>
          <w:snapToGrid w:val="0"/>
          <w:kern w:val="0"/>
          <w:sz w:val="28"/>
          <w:szCs w:val="28"/>
          <w:lang w:val="en-US" w:eastAsia="zh-CN"/>
        </w:rPr>
        <w:t>141.12</w:t>
      </w:r>
      <w:r>
        <w:rPr>
          <w:rFonts w:hint="eastAsia" w:ascii="仿宋_GB2312" w:hAnsi="Times New Roman" w:eastAsia="仿宋_GB2312" w:cs="Times New Roman"/>
          <w:snapToGrid w:val="0"/>
          <w:kern w:val="0"/>
          <w:sz w:val="28"/>
          <w:szCs w:val="28"/>
        </w:rPr>
        <w:t>×0.5%</w:t>
      </w:r>
    </w:p>
    <w:p>
      <w:pPr>
        <w:tabs>
          <w:tab w:val="left" w:pos="0"/>
        </w:tabs>
        <w:adjustRightInd w:val="0"/>
        <w:snapToGrid w:val="0"/>
        <w:spacing w:line="480" w:lineRule="exact"/>
        <w:ind w:firstLine="1771" w:firstLineChars="526"/>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w:t>
      </w:r>
      <w:r>
        <w:rPr>
          <w:rFonts w:hint="eastAsia" w:ascii="仿宋_GB2312" w:eastAsia="仿宋_GB2312" w:cs="Times New Roman"/>
          <w:snapToGrid w:val="0"/>
          <w:kern w:val="0"/>
          <w:sz w:val="28"/>
          <w:szCs w:val="28"/>
          <w:lang w:eastAsia="zh-CN"/>
        </w:rPr>
        <w:t>0.71</w:t>
      </w:r>
      <w:r>
        <w:rPr>
          <w:rFonts w:hint="eastAsia" w:ascii="仿宋_GB2312" w:hAnsi="Times New Roman" w:eastAsia="仿宋_GB2312" w:cs="Times New Roman"/>
          <w:snapToGrid w:val="0"/>
          <w:kern w:val="0"/>
          <w:sz w:val="28"/>
          <w:szCs w:val="28"/>
        </w:rPr>
        <w:t>(元/㎡)</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4、相关税金</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A、房产税</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房产税：指房产所有人按有关规定向税务机关缴纳房产税费，依据《中华人民共和国房产税暂行条例》、《广东省房产税暂行条例实施细则》，自用的房地产房产税以房产原值一次减除10%-30%后的余值为计税依据，税率按1.2%缴纳；依照房产租金收入计算缴纳的，税率为12％。根据估价对象所在地的税务部门了解以及估价师掌握的资料，房产税以房屋年租金的12%除以（1+增值税率）计。</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年房产税 =房屋年租金×12%÷（1+增值税率）</w:t>
      </w:r>
    </w:p>
    <w:p>
      <w:pPr>
        <w:tabs>
          <w:tab w:val="left" w:pos="0"/>
        </w:tabs>
        <w:adjustRightInd w:val="0"/>
        <w:snapToGrid w:val="0"/>
        <w:spacing w:line="480" w:lineRule="exact"/>
        <w:ind w:firstLine="1771" w:firstLineChars="5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141.12</w:t>
      </w:r>
      <w:r>
        <w:rPr>
          <w:rFonts w:hint="eastAsia" w:ascii="仿宋_GB2312" w:eastAsia="仿宋_GB2312"/>
          <w:snapToGrid w:val="0"/>
          <w:kern w:val="0"/>
          <w:sz w:val="28"/>
          <w:szCs w:val="28"/>
        </w:rPr>
        <w:t>元×12%÷（1+5%）</w:t>
      </w:r>
    </w:p>
    <w:p>
      <w:pPr>
        <w:tabs>
          <w:tab w:val="left" w:pos="0"/>
        </w:tabs>
        <w:adjustRightInd w:val="0"/>
        <w:snapToGrid w:val="0"/>
        <w:spacing w:line="480" w:lineRule="exact"/>
        <w:ind w:firstLine="1771" w:firstLineChars="5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 xml:space="preserve">16.13 </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B、增值税及其他：</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自2016年5月1日起在全国范围内全面推开营业税改征增值税（以下简称“营改增”），现行房地产业等纳税人由原来缴纳营业税改为缴纳增值税，涉及税制转换和政策调整，较为复杂。出租2016年4月30前取得的不动产，可选择简易计税方法计税或一般计税方法计税。出租2016年5月1日后不动产，适用一般计税方法计税，本次估价采用简单计算方法。</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a、年增值税 =年有效潜在毛收入×5%÷（1+5%）</w:t>
      </w:r>
    </w:p>
    <w:p>
      <w:pPr>
        <w:tabs>
          <w:tab w:val="left" w:pos="0"/>
        </w:tabs>
        <w:adjustRightInd w:val="0"/>
        <w:snapToGrid w:val="0"/>
        <w:spacing w:line="480" w:lineRule="exact"/>
        <w:ind w:firstLine="2108" w:firstLineChars="6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141.12</w:t>
      </w:r>
      <w:r>
        <w:rPr>
          <w:rFonts w:hint="eastAsia" w:ascii="仿宋_GB2312" w:eastAsia="仿宋_GB2312"/>
          <w:snapToGrid w:val="0"/>
          <w:kern w:val="0"/>
          <w:sz w:val="28"/>
          <w:szCs w:val="28"/>
        </w:rPr>
        <w:t>元×5%÷（1+5%）</w:t>
      </w:r>
    </w:p>
    <w:p>
      <w:pPr>
        <w:tabs>
          <w:tab w:val="left" w:pos="0"/>
        </w:tabs>
        <w:adjustRightInd w:val="0"/>
        <w:snapToGrid w:val="0"/>
        <w:spacing w:line="480" w:lineRule="exact"/>
        <w:ind w:firstLine="2108" w:firstLineChars="6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6.72</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b、城市维护建设税税率如下：</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（一）纳税人所在地在市区的，税率为百分之七；</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（二）纳税人所在地在县城、镇的，税率为百分之五；</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（三）纳税人所在地不在市区、县城或者镇的，税率为百分之一。</w:t>
      </w:r>
    </w:p>
    <w:p>
      <w:pPr>
        <w:tabs>
          <w:tab w:val="left" w:pos="0"/>
        </w:tabs>
        <w:adjustRightInd w:val="0"/>
        <w:snapToGrid w:val="0"/>
        <w:spacing w:line="480" w:lineRule="exact"/>
        <w:ind w:firstLine="480"/>
        <w:rPr>
          <w:rFonts w:hint="eastAsia" w:ascii="仿宋_GB2312" w:eastAsia="仿宋_GB2312"/>
          <w:snapToGrid w:val="0"/>
          <w:kern w:val="0"/>
          <w:sz w:val="28"/>
          <w:szCs w:val="28"/>
          <w:lang w:eastAsia="zh-CN"/>
        </w:rPr>
      </w:pPr>
      <w:r>
        <w:rPr>
          <w:rFonts w:hint="eastAsia" w:ascii="仿宋_GB2312" w:eastAsia="仿宋_GB2312"/>
          <w:snapToGrid w:val="0"/>
          <w:kern w:val="0"/>
          <w:sz w:val="28"/>
          <w:szCs w:val="28"/>
          <w:lang w:eastAsia="zh-CN"/>
        </w:rPr>
        <w:t>估价对象所在地在于惠来县，因此</w:t>
      </w:r>
      <w:r>
        <w:rPr>
          <w:rFonts w:hint="eastAsia" w:ascii="仿宋_GB2312" w:hAnsi="Times New Roman" w:eastAsia="仿宋_GB2312" w:cs="Times New Roman"/>
          <w:snapToGrid w:val="0"/>
          <w:kern w:val="0"/>
          <w:sz w:val="28"/>
          <w:szCs w:val="28"/>
        </w:rPr>
        <w:t>税率为百分之五</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年城建维护税 =年增值税×</w:t>
      </w:r>
      <w:r>
        <w:rPr>
          <w:rFonts w:hint="eastAsia" w:ascii="仿宋_GB2312" w:eastAsia="仿宋_GB2312"/>
          <w:snapToGrid w:val="0"/>
          <w:kern w:val="0"/>
          <w:sz w:val="28"/>
          <w:szCs w:val="28"/>
          <w:lang w:val="en-US" w:eastAsia="zh-CN"/>
        </w:rPr>
        <w:t>5</w:t>
      </w:r>
      <w:r>
        <w:rPr>
          <w:rFonts w:hint="eastAsia" w:ascii="仿宋_GB2312" w:eastAsia="仿宋_GB2312"/>
          <w:snapToGrid w:val="0"/>
          <w:kern w:val="0"/>
          <w:sz w:val="28"/>
          <w:szCs w:val="28"/>
        </w:rPr>
        <w:t>%</w:t>
      </w:r>
    </w:p>
    <w:p>
      <w:pPr>
        <w:tabs>
          <w:tab w:val="left" w:pos="0"/>
        </w:tabs>
        <w:adjustRightInd w:val="0"/>
        <w:snapToGrid w:val="0"/>
        <w:spacing w:line="480" w:lineRule="exact"/>
        <w:ind w:firstLine="2445" w:firstLineChars="7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6.72</w:t>
      </w:r>
      <w:r>
        <w:rPr>
          <w:rFonts w:hint="eastAsia" w:ascii="仿宋_GB2312" w:eastAsia="仿宋_GB2312"/>
          <w:snapToGrid w:val="0"/>
          <w:kern w:val="0"/>
          <w:sz w:val="28"/>
          <w:szCs w:val="28"/>
        </w:rPr>
        <w:t>元×</w:t>
      </w:r>
      <w:r>
        <w:rPr>
          <w:rFonts w:hint="eastAsia" w:ascii="仿宋_GB2312" w:eastAsia="仿宋_GB2312"/>
          <w:snapToGrid w:val="0"/>
          <w:kern w:val="0"/>
          <w:sz w:val="28"/>
          <w:szCs w:val="28"/>
          <w:lang w:val="en-US" w:eastAsia="zh-CN"/>
        </w:rPr>
        <w:t>5</w:t>
      </w:r>
      <w:r>
        <w:rPr>
          <w:rFonts w:hint="eastAsia" w:ascii="仿宋_GB2312" w:eastAsia="仿宋_GB2312"/>
          <w:snapToGrid w:val="0"/>
          <w:kern w:val="0"/>
          <w:sz w:val="28"/>
          <w:szCs w:val="28"/>
        </w:rPr>
        <w:t>%</w:t>
      </w:r>
    </w:p>
    <w:p>
      <w:pPr>
        <w:tabs>
          <w:tab w:val="left" w:pos="0"/>
        </w:tabs>
        <w:adjustRightInd w:val="0"/>
        <w:snapToGrid w:val="0"/>
        <w:spacing w:line="480" w:lineRule="exact"/>
        <w:ind w:firstLine="2445" w:firstLineChars="7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0.34</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c、教育附加 =年增值税×5%</w:t>
      </w:r>
    </w:p>
    <w:p>
      <w:pPr>
        <w:tabs>
          <w:tab w:val="left" w:pos="0"/>
        </w:tabs>
        <w:adjustRightInd w:val="0"/>
        <w:snapToGrid w:val="0"/>
        <w:spacing w:line="480" w:lineRule="exact"/>
        <w:ind w:firstLine="2108" w:firstLineChars="6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6.72</w:t>
      </w:r>
      <w:r>
        <w:rPr>
          <w:rFonts w:hint="eastAsia" w:ascii="仿宋_GB2312" w:eastAsia="仿宋_GB2312"/>
          <w:snapToGrid w:val="0"/>
          <w:kern w:val="0"/>
          <w:sz w:val="28"/>
          <w:szCs w:val="28"/>
        </w:rPr>
        <w:t>元×5%</w:t>
      </w:r>
    </w:p>
    <w:p>
      <w:pPr>
        <w:tabs>
          <w:tab w:val="left" w:pos="0"/>
        </w:tabs>
        <w:adjustRightInd w:val="0"/>
        <w:snapToGrid w:val="0"/>
        <w:spacing w:line="480" w:lineRule="exact"/>
        <w:ind w:firstLine="2108" w:firstLineChars="6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0.34</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 xml:space="preserve">   C、确定相关税金</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 xml:space="preserve">      相关税金=房产税+年增值税+年城建维护税+教育附加</w:t>
      </w:r>
    </w:p>
    <w:p>
      <w:pPr>
        <w:tabs>
          <w:tab w:val="left" w:pos="0"/>
        </w:tabs>
        <w:adjustRightInd w:val="0"/>
        <w:snapToGrid w:val="0"/>
        <w:spacing w:line="480" w:lineRule="exact"/>
        <w:ind w:firstLine="480"/>
        <w:rPr>
          <w:rFonts w:hint="eastAsia" w:ascii="仿宋_GB2312" w:eastAsia="仿宋_GB2312"/>
          <w:snapToGrid w:val="0"/>
          <w:kern w:val="0"/>
          <w:sz w:val="28"/>
          <w:szCs w:val="28"/>
          <w:lang w:val="en-US" w:eastAsia="zh-CN"/>
        </w:rPr>
      </w:pPr>
      <w:r>
        <w:rPr>
          <w:rFonts w:hint="eastAsia" w:ascii="仿宋_GB2312" w:eastAsia="仿宋_GB2312"/>
          <w:snapToGrid w:val="0"/>
          <w:kern w:val="0"/>
          <w:sz w:val="28"/>
          <w:szCs w:val="28"/>
        </w:rPr>
        <w:t xml:space="preserve">              =</w:t>
      </w:r>
      <w:r>
        <w:rPr>
          <w:rFonts w:hint="eastAsia" w:ascii="仿宋_GB2312" w:eastAsia="仿宋_GB2312"/>
          <w:snapToGrid w:val="0"/>
          <w:kern w:val="0"/>
          <w:sz w:val="28"/>
          <w:szCs w:val="28"/>
          <w:lang w:val="en-US" w:eastAsia="zh-CN"/>
        </w:rPr>
        <w:t>16.13</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6.72</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 xml:space="preserve">0.34 </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 xml:space="preserve">0.34 </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 xml:space="preserve">              =</w:t>
      </w:r>
      <w:r>
        <w:rPr>
          <w:rFonts w:hint="eastAsia" w:ascii="仿宋_GB2312" w:eastAsia="仿宋_GB2312"/>
          <w:snapToGrid w:val="0"/>
          <w:kern w:val="0"/>
          <w:sz w:val="28"/>
          <w:szCs w:val="28"/>
          <w:lang w:val="en-US" w:eastAsia="zh-CN"/>
        </w:rPr>
        <w:t xml:space="preserve">24.00 </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（个位取整）</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5、确定年出租总税费</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 xml:space="preserve">年出租总税费=年维修费+年管理费+年保险费+相关税金 </w:t>
      </w:r>
    </w:p>
    <w:p>
      <w:pPr>
        <w:tabs>
          <w:tab w:val="left" w:pos="0"/>
        </w:tabs>
        <w:adjustRightInd w:val="0"/>
        <w:snapToGrid w:val="0"/>
        <w:spacing w:line="480" w:lineRule="exact"/>
        <w:ind w:firstLine="2108" w:firstLineChars="626"/>
        <w:rPr>
          <w:rFonts w:hint="default" w:ascii="仿宋_GB2312" w:eastAsia="仿宋_GB2312"/>
          <w:snapToGrid w:val="0"/>
          <w:kern w:val="0"/>
          <w:sz w:val="28"/>
          <w:szCs w:val="28"/>
          <w:lang w:val="en-US" w:eastAsia="zh-CN"/>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1.41</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4.23</w:t>
      </w:r>
      <w:r>
        <w:rPr>
          <w:rFonts w:ascii="仿宋_GB2312" w:eastAsia="仿宋_GB2312"/>
          <w:snapToGrid w:val="0"/>
          <w:kern w:val="0"/>
          <w:sz w:val="28"/>
          <w:szCs w:val="28"/>
        </w:rPr>
        <w:t>+</w:t>
      </w:r>
      <w:r>
        <w:rPr>
          <w:rFonts w:hint="eastAsia" w:ascii="仿宋_GB2312" w:eastAsia="仿宋_GB2312"/>
          <w:snapToGrid w:val="0"/>
          <w:kern w:val="0"/>
          <w:sz w:val="28"/>
          <w:szCs w:val="28"/>
          <w:lang w:eastAsia="zh-CN"/>
        </w:rPr>
        <w:t>0.71</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 xml:space="preserve">24.00 </w:t>
      </w:r>
    </w:p>
    <w:p>
      <w:pPr>
        <w:tabs>
          <w:tab w:val="left" w:pos="0"/>
        </w:tabs>
        <w:adjustRightInd w:val="0"/>
        <w:snapToGrid w:val="0"/>
        <w:spacing w:line="480" w:lineRule="exact"/>
        <w:ind w:firstLine="2108" w:firstLineChars="6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 xml:space="preserve">30.35 </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6.确定估价对象的净收益</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通过上述分析计算，已分别确定了估价对象的租赁收入和维修费、管理费、保险费和税金等费用，因而可计算其净收益。</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年净收益=年租赁收入－年出租总税费</w:t>
      </w:r>
    </w:p>
    <w:p>
      <w:pPr>
        <w:tabs>
          <w:tab w:val="left" w:pos="0"/>
        </w:tabs>
        <w:adjustRightInd w:val="0"/>
        <w:snapToGrid w:val="0"/>
        <w:spacing w:line="480" w:lineRule="exact"/>
        <w:ind w:firstLine="1685" w:firstLineChars="500"/>
        <w:rPr>
          <w:rFonts w:hint="default" w:ascii="仿宋_GB2312" w:eastAsia="仿宋_GB2312"/>
          <w:snapToGrid w:val="0"/>
          <w:kern w:val="0"/>
          <w:sz w:val="28"/>
          <w:szCs w:val="28"/>
          <w:lang w:val="en-US" w:eastAsia="zh-CN"/>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141.47</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 xml:space="preserve">30.35 </w:t>
      </w:r>
    </w:p>
    <w:p>
      <w:pPr>
        <w:tabs>
          <w:tab w:val="left" w:pos="0"/>
        </w:tabs>
        <w:adjustRightInd w:val="0"/>
        <w:snapToGrid w:val="0"/>
        <w:spacing w:line="480" w:lineRule="exact"/>
        <w:ind w:firstLine="1771" w:firstLineChars="5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 xml:space="preserve">111.12 </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（2） 确定资本化率（折现率）</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本次估价根据当地房地产市场同类房地产项目的平均收益率，采用累加法确定。</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累加法是将折现率视为包含无风险报酬率和风险报酬率两大部分，然后分别求出每一部分，再将它们相加得到折现率的方法。</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无风险报酬率也成安全利率，是无风险投资的报酬率，是资金的机会成本。风险报酬率是指承担额外的风险所要求的补偿，即超过无风险报酬率以上部分的 报酬率，具体是对是对估价对象自身及其所在的区域、行业、市场等所存在的风险补偿。</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累加法的细化公式为：</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折现率=无风险报酬率+投资风险补偿率+管理负担补偿率+缺乏流动性补偿率-易于获得融资的优惠率-投资带来的优惠率</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其中，</w:t>
      </w: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1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①</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投资风险报酬率，是指当投资者投资于收益不确定、具有一定风险的房地产时，他必然会要求对所承担的额外风险有所补偿，否则就不会投资。</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2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②</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管理负担补偿率，是指意向投资所要求的操劳越多，其吸引力就越小，从而投资者必然会要求对所承担的额外管理有所补偿，房地产要求的管理工作一边高于存款、证劵</w:t>
      </w:r>
      <w:r>
        <w:rPr>
          <w:rFonts w:hint="eastAsia" w:ascii="仿宋_GB2312" w:hAnsi="仿宋_GB2312" w:eastAsia="仿宋_GB2312" w:cs="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3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③</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缺乏流动性补偿率，是指投资者对所投入的资金由于缺乏流动性所要求的补偿。房地产与存款、股票、债券、黄金相比，买卖要困难，变现能力弱。</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4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④</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投资带来的优惠率，是指由于投资房地产可能获得某些额外的好处，例如易于获得融资（如可以抵押贷款），从而投资者会降低所要求的报酬率。因此，针对投资估价对象可以获得额外的好处，投资者之间竞争的结果也会要求作相应的扣减。而各种补偿率和优惠率又受以下因素影响，各个因素和影响分值如下表A所示：</w:t>
      </w:r>
    </w:p>
    <w:tbl>
      <w:tblPr>
        <w:tblStyle w:val="45"/>
        <w:tblW w:w="4996" w:type="pct"/>
        <w:tblInd w:w="0" w:type="dxa"/>
        <w:tblLayout w:type="autofit"/>
        <w:tblCellMar>
          <w:top w:w="0" w:type="dxa"/>
          <w:left w:w="108" w:type="dxa"/>
          <w:bottom w:w="0" w:type="dxa"/>
          <w:right w:w="108" w:type="dxa"/>
        </w:tblCellMar>
      </w:tblPr>
      <w:tblGrid>
        <w:gridCol w:w="396"/>
        <w:gridCol w:w="842"/>
        <w:gridCol w:w="867"/>
        <w:gridCol w:w="747"/>
        <w:gridCol w:w="1749"/>
        <w:gridCol w:w="986"/>
        <w:gridCol w:w="916"/>
        <w:gridCol w:w="598"/>
        <w:gridCol w:w="516"/>
        <w:gridCol w:w="517"/>
        <w:gridCol w:w="599"/>
        <w:gridCol w:w="599"/>
        <w:gridCol w:w="623"/>
      </w:tblGrid>
      <w:tr>
        <w:tblPrEx>
          <w:tblCellMar>
            <w:top w:w="0" w:type="dxa"/>
            <w:left w:w="108" w:type="dxa"/>
            <w:bottom w:w="0" w:type="dxa"/>
            <w:right w:w="108" w:type="dxa"/>
          </w:tblCellMar>
        </w:tblPrEx>
        <w:trPr>
          <w:trHeight w:val="400" w:hRule="atLeast"/>
        </w:trPr>
        <w:tc>
          <w:tcPr>
            <w:tcW w:w="228"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序号</w:t>
            </w:r>
          </w:p>
        </w:tc>
        <w:tc>
          <w:tcPr>
            <w:tcW w:w="457"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名称</w:t>
            </w:r>
          </w:p>
        </w:tc>
        <w:tc>
          <w:tcPr>
            <w:tcW w:w="874" w:type="pct"/>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取值范围</w:t>
            </w:r>
          </w:p>
        </w:tc>
        <w:tc>
          <w:tcPr>
            <w:tcW w:w="910"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影响因素</w:t>
            </w:r>
          </w:p>
        </w:tc>
        <w:tc>
          <w:tcPr>
            <w:tcW w:w="527"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所占比例</w:t>
            </w:r>
          </w:p>
        </w:tc>
        <w:tc>
          <w:tcPr>
            <w:tcW w:w="2004" w:type="pct"/>
            <w:gridSpan w:val="7"/>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取值范围</w:t>
            </w:r>
          </w:p>
        </w:tc>
      </w:tr>
      <w:tr>
        <w:tblPrEx>
          <w:tblCellMar>
            <w:top w:w="0" w:type="dxa"/>
            <w:left w:w="108" w:type="dxa"/>
            <w:bottom w:w="0" w:type="dxa"/>
            <w:right w:w="108" w:type="dxa"/>
          </w:tblCellMar>
        </w:tblPrEx>
        <w:trPr>
          <w:trHeight w:val="400" w:hRule="atLeast"/>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5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874" w:type="pct"/>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910"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52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33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高</w:t>
            </w:r>
          </w:p>
        </w:tc>
        <w:tc>
          <w:tcPr>
            <w:tcW w:w="33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中高</w:t>
            </w:r>
          </w:p>
        </w:tc>
        <w:tc>
          <w:tcPr>
            <w:tcW w:w="332"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中</w:t>
            </w:r>
          </w:p>
        </w:tc>
        <w:tc>
          <w:tcPr>
            <w:tcW w:w="33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中低</w:t>
            </w:r>
          </w:p>
        </w:tc>
        <w:tc>
          <w:tcPr>
            <w:tcW w:w="332"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低</w:t>
            </w:r>
          </w:p>
        </w:tc>
        <w:tc>
          <w:tcPr>
            <w:tcW w:w="344"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取值</w:t>
            </w:r>
          </w:p>
        </w:tc>
      </w:tr>
      <w:tr>
        <w:tblPrEx>
          <w:tblCellMar>
            <w:top w:w="0" w:type="dxa"/>
            <w:left w:w="108" w:type="dxa"/>
            <w:bottom w:w="0" w:type="dxa"/>
            <w:right w:w="108" w:type="dxa"/>
          </w:tblCellMar>
        </w:tblPrEx>
        <w:trPr>
          <w:trHeight w:val="400" w:hRule="atLeast"/>
        </w:trPr>
        <w:tc>
          <w:tcPr>
            <w:tcW w:w="22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w:t>
            </w: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无风险报酬率</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1.50%</w:t>
            </w:r>
          </w:p>
        </w:tc>
        <w:tc>
          <w:tcPr>
            <w:tcW w:w="8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1.50%</w:t>
            </w:r>
          </w:p>
        </w:tc>
        <w:tc>
          <w:tcPr>
            <w:tcW w:w="6851" w:type="dxa"/>
            <w:gridSpan w:val="9"/>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r>
      <w:tr>
        <w:tblPrEx>
          <w:tblCellMar>
            <w:top w:w="0" w:type="dxa"/>
            <w:left w:w="108" w:type="dxa"/>
            <w:bottom w:w="0" w:type="dxa"/>
            <w:right w:w="108" w:type="dxa"/>
          </w:tblCellMar>
        </w:tblPrEx>
        <w:trPr>
          <w:trHeight w:val="400" w:hRule="atLeast"/>
        </w:trPr>
        <w:tc>
          <w:tcPr>
            <w:tcW w:w="228"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2</w:t>
            </w:r>
          </w:p>
        </w:tc>
        <w:tc>
          <w:tcPr>
            <w:tcW w:w="457"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投资风险补偿率</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kern w:val="0"/>
                <w:sz w:val="20"/>
              </w:rPr>
            </w:pPr>
            <w:r>
              <w:rPr>
                <w:rFonts w:hint="eastAsia" w:ascii="仿宋" w:hAnsi="仿宋" w:eastAsia="仿宋" w:cs="仿宋"/>
                <w:i w:val="0"/>
                <w:iCs w:val="0"/>
                <w:color w:val="auto"/>
                <w:kern w:val="0"/>
                <w:sz w:val="20"/>
                <w:szCs w:val="20"/>
                <w:u w:val="none"/>
                <w:lang w:val="en-US" w:eastAsia="zh-CN" w:bidi="ar"/>
              </w:rPr>
              <w:t>0.2</w:t>
            </w:r>
          </w:p>
        </w:tc>
        <w:tc>
          <w:tcPr>
            <w:tcW w:w="196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投资周期风险</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10.00%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kern w:val="0"/>
                <w:sz w:val="20"/>
              </w:rPr>
            </w:pPr>
            <w:r>
              <w:rPr>
                <w:rFonts w:hint="eastAsia" w:ascii="仿宋" w:hAnsi="仿宋" w:eastAsia="仿宋" w:cs="仿宋"/>
                <w:i w:val="0"/>
                <w:iCs w:val="0"/>
                <w:color w:val="auto"/>
                <w:kern w:val="0"/>
                <w:sz w:val="20"/>
                <w:szCs w:val="20"/>
                <w:u w:val="none"/>
                <w:lang w:val="en-US" w:eastAsia="zh-CN" w:bidi="ar"/>
              </w:rPr>
              <w:t>1～2</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2</w:t>
            </w:r>
          </w:p>
        </w:tc>
      </w:tr>
      <w:tr>
        <w:tblPrEx>
          <w:tblCellMar>
            <w:top w:w="0" w:type="dxa"/>
            <w:left w:w="108" w:type="dxa"/>
            <w:bottom w:w="0" w:type="dxa"/>
            <w:right w:w="108" w:type="dxa"/>
          </w:tblCellMar>
        </w:tblPrEx>
        <w:trPr>
          <w:trHeight w:val="400" w:hRule="atLeast"/>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5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8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0.2</w:t>
            </w:r>
          </w:p>
        </w:tc>
        <w:tc>
          <w:tcPr>
            <w:tcW w:w="196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退出损失风险</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10.00%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2</w:t>
            </w:r>
          </w:p>
        </w:tc>
      </w:tr>
      <w:tr>
        <w:tblPrEx>
          <w:tblCellMar>
            <w:top w:w="0" w:type="dxa"/>
            <w:left w:w="108" w:type="dxa"/>
            <w:bottom w:w="0" w:type="dxa"/>
            <w:right w:w="108" w:type="dxa"/>
          </w:tblCellMar>
        </w:tblPrEx>
        <w:trPr>
          <w:trHeight w:val="400" w:hRule="atLeast"/>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5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8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0.2</w:t>
            </w:r>
          </w:p>
        </w:tc>
        <w:tc>
          <w:tcPr>
            <w:tcW w:w="196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竞争能力风险</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10.00%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2</w:t>
            </w:r>
          </w:p>
        </w:tc>
      </w:tr>
      <w:tr>
        <w:tblPrEx>
          <w:tblCellMar>
            <w:top w:w="0" w:type="dxa"/>
            <w:left w:w="108" w:type="dxa"/>
            <w:bottom w:w="0" w:type="dxa"/>
            <w:right w:w="108" w:type="dxa"/>
          </w:tblCellMar>
        </w:tblPrEx>
        <w:trPr>
          <w:trHeight w:val="400" w:hRule="atLeast"/>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5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8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0.2</w:t>
            </w:r>
          </w:p>
        </w:tc>
        <w:tc>
          <w:tcPr>
            <w:tcW w:w="196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投资规模风险</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10.00%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2</w:t>
            </w:r>
          </w:p>
        </w:tc>
      </w:tr>
      <w:tr>
        <w:tblPrEx>
          <w:tblCellMar>
            <w:top w:w="0" w:type="dxa"/>
            <w:left w:w="108" w:type="dxa"/>
            <w:bottom w:w="0" w:type="dxa"/>
            <w:right w:w="108" w:type="dxa"/>
          </w:tblCellMar>
        </w:tblPrEx>
        <w:trPr>
          <w:trHeight w:val="400" w:hRule="atLeast"/>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5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8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0.4</w:t>
            </w:r>
          </w:p>
        </w:tc>
        <w:tc>
          <w:tcPr>
            <w:tcW w:w="196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收益稳定性风险</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20.00%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2</w:t>
            </w:r>
          </w:p>
        </w:tc>
      </w:tr>
      <w:tr>
        <w:tblPrEx>
          <w:tblCellMar>
            <w:top w:w="0" w:type="dxa"/>
            <w:left w:w="108" w:type="dxa"/>
            <w:bottom w:w="0" w:type="dxa"/>
            <w:right w:w="108" w:type="dxa"/>
          </w:tblCellMar>
        </w:tblPrEx>
        <w:trPr>
          <w:trHeight w:val="400" w:hRule="atLeast"/>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5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8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0.2</w:t>
            </w:r>
          </w:p>
        </w:tc>
        <w:tc>
          <w:tcPr>
            <w:tcW w:w="196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市场规模和成熟程度风险</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20.00%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5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8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0.1</w:t>
            </w:r>
          </w:p>
        </w:tc>
        <w:tc>
          <w:tcPr>
            <w:tcW w:w="196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市场失衡的可能性风险</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10.00%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5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15.00%</w:t>
            </w:r>
          </w:p>
        </w:tc>
        <w:tc>
          <w:tcPr>
            <w:tcW w:w="8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0.1</w:t>
            </w:r>
          </w:p>
        </w:tc>
        <w:tc>
          <w:tcPr>
            <w:tcW w:w="196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政策风险</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10.00%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685"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小计</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2.40%</w:t>
            </w:r>
          </w:p>
        </w:tc>
        <w:tc>
          <w:tcPr>
            <w:tcW w:w="8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1.6</w:t>
            </w:r>
          </w:p>
        </w:tc>
        <w:tc>
          <w:tcPr>
            <w:tcW w:w="196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100.00%</w:t>
            </w:r>
          </w:p>
        </w:tc>
        <w:tc>
          <w:tcPr>
            <w:tcW w:w="76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76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76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p>
        </w:tc>
      </w:tr>
      <w:tr>
        <w:tblPrEx>
          <w:tblCellMar>
            <w:top w:w="0" w:type="dxa"/>
            <w:left w:w="108" w:type="dxa"/>
            <w:bottom w:w="0" w:type="dxa"/>
            <w:right w:w="108" w:type="dxa"/>
          </w:tblCellMar>
        </w:tblPrEx>
        <w:trPr>
          <w:trHeight w:val="400" w:hRule="atLeast"/>
        </w:trPr>
        <w:tc>
          <w:tcPr>
            <w:tcW w:w="228"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w:t>
            </w:r>
          </w:p>
        </w:tc>
        <w:tc>
          <w:tcPr>
            <w:tcW w:w="457" w:type="pct"/>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olor w:val="000000"/>
                <w:sz w:val="20"/>
              </w:rPr>
            </w:pPr>
            <w:r>
              <w:rPr>
                <w:rFonts w:hint="eastAsia" w:ascii="仿宋" w:hAnsi="仿宋" w:eastAsia="仿宋"/>
                <w:color w:val="000000"/>
                <w:sz w:val="20"/>
              </w:rPr>
              <w:t>0.00%</w:t>
            </w:r>
          </w:p>
          <w:p>
            <w:pPr>
              <w:jc w:val="center"/>
              <w:rPr>
                <w:rFonts w:ascii="仿宋" w:hAnsi="仿宋" w:eastAsia="仿宋"/>
                <w:color w:val="000000"/>
                <w:sz w:val="20"/>
              </w:rPr>
            </w:pPr>
            <w:r>
              <w:rPr>
                <w:rFonts w:hint="eastAsia" w:ascii="仿宋" w:hAnsi="仿宋" w:eastAsia="仿宋"/>
                <w:color w:val="000000"/>
                <w:sz w:val="20"/>
              </w:rPr>
              <w:t>　</w:t>
            </w:r>
          </w:p>
          <w:p>
            <w:pPr>
              <w:jc w:val="center"/>
              <w:rPr>
                <w:rFonts w:ascii="仿宋" w:hAnsi="仿宋" w:eastAsia="仿宋"/>
                <w:color w:val="000000"/>
                <w:sz w:val="20"/>
              </w:rPr>
            </w:pPr>
            <w:r>
              <w:rPr>
                <w:rFonts w:hint="eastAsia" w:ascii="仿宋" w:hAnsi="仿宋" w:eastAsia="仿宋"/>
                <w:color w:val="000000"/>
                <w:sz w:val="20"/>
              </w:rPr>
              <w:t>　</w:t>
            </w:r>
          </w:p>
          <w:p>
            <w:pPr>
              <w:jc w:val="center"/>
              <w:rPr>
                <w:rFonts w:ascii="仿宋" w:hAnsi="仿宋" w:eastAsia="仿宋"/>
                <w:color w:val="000000"/>
                <w:sz w:val="20"/>
              </w:rPr>
            </w:pPr>
            <w:r>
              <w:rPr>
                <w:rFonts w:hint="eastAsia" w:ascii="仿宋" w:hAnsi="仿宋" w:eastAsia="仿宋"/>
                <w:sz w:val="20"/>
              </w:rPr>
              <w:t>4.00%</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0.00%</w:t>
            </w:r>
          </w:p>
        </w:tc>
        <w:tc>
          <w:tcPr>
            <w:tcW w:w="8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0.25</w:t>
            </w:r>
          </w:p>
        </w:tc>
        <w:tc>
          <w:tcPr>
            <w:tcW w:w="196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管理难易程度</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25.00%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5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8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0.25</w:t>
            </w:r>
          </w:p>
        </w:tc>
        <w:tc>
          <w:tcPr>
            <w:tcW w:w="196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管理对价值的影响程度</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25.00%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5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8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0.25</w:t>
            </w:r>
          </w:p>
        </w:tc>
        <w:tc>
          <w:tcPr>
            <w:tcW w:w="196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管理的成本费用水平</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25.00%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22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5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4.00%</w:t>
            </w:r>
          </w:p>
        </w:tc>
        <w:tc>
          <w:tcPr>
            <w:tcW w:w="8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0.25</w:t>
            </w:r>
          </w:p>
        </w:tc>
        <w:tc>
          <w:tcPr>
            <w:tcW w:w="196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专业性</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25.00%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7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685"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小计</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0.40%</w:t>
            </w:r>
          </w:p>
        </w:tc>
        <w:tc>
          <w:tcPr>
            <w:tcW w:w="8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w:t>
            </w:r>
          </w:p>
        </w:tc>
        <w:tc>
          <w:tcPr>
            <w:tcW w:w="196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7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100.00%</w:t>
            </w:r>
          </w:p>
        </w:tc>
        <w:tc>
          <w:tcPr>
            <w:tcW w:w="76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76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76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765"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p>
        </w:tc>
      </w:tr>
      <w:tr>
        <w:tblPrEx>
          <w:tblCellMar>
            <w:top w:w="0" w:type="dxa"/>
            <w:left w:w="108" w:type="dxa"/>
            <w:bottom w:w="0" w:type="dxa"/>
            <w:right w:w="108" w:type="dxa"/>
          </w:tblCellMar>
        </w:tblPrEx>
        <w:trPr>
          <w:trHeight w:val="400" w:hRule="atLeast"/>
        </w:trPr>
        <w:tc>
          <w:tcPr>
            <w:tcW w:w="22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4</w:t>
            </w: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缺乏流动性补偿率</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0-4%</w:t>
            </w:r>
          </w:p>
        </w:tc>
        <w:tc>
          <w:tcPr>
            <w:tcW w:w="7661" w:type="dxa"/>
            <w:gridSpan w:val="10"/>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详见表B</w:t>
            </w:r>
          </w:p>
        </w:tc>
      </w:tr>
      <w:tr>
        <w:tblPrEx>
          <w:tblCellMar>
            <w:top w:w="0" w:type="dxa"/>
            <w:left w:w="108" w:type="dxa"/>
            <w:bottom w:w="0" w:type="dxa"/>
            <w:right w:w="108" w:type="dxa"/>
          </w:tblCellMar>
        </w:tblPrEx>
        <w:trPr>
          <w:trHeight w:val="400" w:hRule="atLeast"/>
        </w:trPr>
        <w:tc>
          <w:tcPr>
            <w:tcW w:w="685"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取值</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2.05%</w:t>
            </w:r>
          </w:p>
        </w:tc>
        <w:tc>
          <w:tcPr>
            <w:tcW w:w="7661"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r>
      <w:tr>
        <w:tblPrEx>
          <w:tblCellMar>
            <w:top w:w="0" w:type="dxa"/>
            <w:left w:w="108" w:type="dxa"/>
            <w:bottom w:w="0" w:type="dxa"/>
            <w:right w:w="108" w:type="dxa"/>
          </w:tblCellMar>
        </w:tblPrEx>
        <w:trPr>
          <w:trHeight w:val="400" w:hRule="atLeast"/>
        </w:trPr>
        <w:tc>
          <w:tcPr>
            <w:tcW w:w="22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5</w:t>
            </w: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易于获得融资的优惠率</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0-2%</w:t>
            </w:r>
          </w:p>
        </w:tc>
        <w:tc>
          <w:tcPr>
            <w:tcW w:w="7661" w:type="dxa"/>
            <w:gridSpan w:val="10"/>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一般指房地产易于获得金融机构的抵押贷款支持</w:t>
            </w:r>
          </w:p>
        </w:tc>
      </w:tr>
      <w:tr>
        <w:tblPrEx>
          <w:tblCellMar>
            <w:top w:w="0" w:type="dxa"/>
            <w:left w:w="108" w:type="dxa"/>
            <w:bottom w:w="0" w:type="dxa"/>
            <w:right w:w="108" w:type="dxa"/>
          </w:tblCellMar>
        </w:tblPrEx>
        <w:trPr>
          <w:trHeight w:val="400" w:hRule="atLeast"/>
        </w:trPr>
        <w:tc>
          <w:tcPr>
            <w:tcW w:w="685"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取值</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1.50%</w:t>
            </w:r>
          </w:p>
        </w:tc>
        <w:tc>
          <w:tcPr>
            <w:tcW w:w="7661"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r>
      <w:tr>
        <w:tblPrEx>
          <w:tblCellMar>
            <w:top w:w="0" w:type="dxa"/>
            <w:left w:w="108" w:type="dxa"/>
            <w:bottom w:w="0" w:type="dxa"/>
            <w:right w:w="108" w:type="dxa"/>
          </w:tblCellMar>
        </w:tblPrEx>
        <w:trPr>
          <w:trHeight w:val="400" w:hRule="atLeast"/>
        </w:trPr>
        <w:tc>
          <w:tcPr>
            <w:tcW w:w="22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6</w:t>
            </w: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所得税抵扣的优惠率</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0-2%</w:t>
            </w:r>
          </w:p>
        </w:tc>
        <w:tc>
          <w:tcPr>
            <w:tcW w:w="7661" w:type="dxa"/>
            <w:gridSpan w:val="10"/>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指房地产可能获得所得税抵扣方面的优惠</w:t>
            </w:r>
          </w:p>
        </w:tc>
      </w:tr>
      <w:tr>
        <w:tblPrEx>
          <w:tblCellMar>
            <w:top w:w="0" w:type="dxa"/>
            <w:left w:w="108" w:type="dxa"/>
            <w:bottom w:w="0" w:type="dxa"/>
            <w:right w:w="108" w:type="dxa"/>
          </w:tblCellMar>
        </w:tblPrEx>
        <w:trPr>
          <w:trHeight w:val="400" w:hRule="atLeast"/>
        </w:trPr>
        <w:tc>
          <w:tcPr>
            <w:tcW w:w="685"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取值</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w:t>
            </w:r>
          </w:p>
        </w:tc>
        <w:tc>
          <w:tcPr>
            <w:tcW w:w="7661"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r>
      <w:tr>
        <w:tblPrEx>
          <w:tblCellMar>
            <w:top w:w="0" w:type="dxa"/>
            <w:left w:w="108" w:type="dxa"/>
            <w:bottom w:w="0" w:type="dxa"/>
            <w:right w:w="108" w:type="dxa"/>
          </w:tblCellMar>
        </w:tblPrEx>
        <w:trPr>
          <w:trHeight w:val="400" w:hRule="atLeast"/>
        </w:trPr>
        <w:tc>
          <w:tcPr>
            <w:tcW w:w="685"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折现率</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kern w:val="0"/>
                <w:sz w:val="20"/>
              </w:rPr>
            </w:pPr>
            <w:r>
              <w:rPr>
                <w:rFonts w:hint="eastAsia" w:ascii="仿宋" w:hAnsi="仿宋" w:eastAsia="仿宋" w:cs="仿宋"/>
                <w:i w:val="0"/>
                <w:iCs w:val="0"/>
                <w:color w:val="auto"/>
                <w:kern w:val="0"/>
                <w:sz w:val="20"/>
                <w:szCs w:val="20"/>
                <w:u w:val="none"/>
                <w:lang w:val="en-US" w:eastAsia="zh-CN" w:bidi="ar"/>
              </w:rPr>
              <w:t>4.85%</w:t>
            </w:r>
          </w:p>
        </w:tc>
        <w:tc>
          <w:tcPr>
            <w:tcW w:w="7661" w:type="dxa"/>
            <w:gridSpan w:val="10"/>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报酬率=无风险报酬率+投资风险补偿率+管理负担补偿率+缺乏流动性补偿率-易于获得融资的优惠率-投资带来的优惠率</w:t>
            </w:r>
          </w:p>
        </w:tc>
      </w:tr>
    </w:tbl>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说明：</w:t>
      </w:r>
      <w:r>
        <w:rPr>
          <w:rFonts w:hint="eastAsia" w:ascii="仿宋_GB2312" w:hAnsi="Times New Roman" w:eastAsia="仿宋_GB2312" w:cs="Times New Roman"/>
          <w:snapToGrid w:val="0"/>
          <w:kern w:val="0"/>
          <w:sz w:val="28"/>
          <w:szCs w:val="28"/>
        </w:rPr>
        <w:fldChar w:fldCharType="begin"/>
      </w:r>
      <w:r>
        <w:rPr>
          <w:rFonts w:hint="eastAsia" w:ascii="仿宋_GB2312" w:hAnsi="Times New Roman" w:eastAsia="仿宋_GB2312" w:cs="Times New Roman"/>
          <w:snapToGrid w:val="0"/>
          <w:kern w:val="0"/>
          <w:sz w:val="28"/>
          <w:szCs w:val="28"/>
        </w:rPr>
        <w:instrText xml:space="preserve"> = 1 \* GB3 \* MERGEFORMAT </w:instrText>
      </w:r>
      <w:r>
        <w:rPr>
          <w:rFonts w:hint="eastAsia" w:ascii="仿宋_GB2312" w:hAnsi="Times New Roman" w:eastAsia="仿宋_GB2312" w:cs="Times New Roman"/>
          <w:snapToGrid w:val="0"/>
          <w:kern w:val="0"/>
          <w:sz w:val="28"/>
          <w:szCs w:val="28"/>
        </w:rPr>
        <w:fldChar w:fldCharType="separate"/>
      </w:r>
      <w:r>
        <w:rPr>
          <w:rFonts w:hint="eastAsia" w:ascii="仿宋_GB2312" w:hAnsi="Times New Roman" w:eastAsia="仿宋_GB2312" w:cs="Times New Roman"/>
          <w:snapToGrid w:val="0"/>
          <w:kern w:val="0"/>
          <w:sz w:val="28"/>
          <w:szCs w:val="28"/>
        </w:rPr>
        <w:t>①</w:t>
      </w:r>
      <w:r>
        <w:rPr>
          <w:rFonts w:hint="eastAsia" w:ascii="仿宋_GB2312" w:hAnsi="Times New Roman" w:eastAsia="仿宋_GB2312" w:cs="Times New Roman"/>
          <w:snapToGrid w:val="0"/>
          <w:kern w:val="0"/>
          <w:sz w:val="28"/>
          <w:szCs w:val="28"/>
        </w:rPr>
        <w:fldChar w:fldCharType="end"/>
      </w:r>
      <w:r>
        <w:rPr>
          <w:rFonts w:hint="eastAsia" w:ascii="仿宋_GB2312" w:hAnsi="Times New Roman" w:eastAsia="仿宋_GB2312" w:cs="Times New Roman"/>
          <w:snapToGrid w:val="0"/>
          <w:kern w:val="0"/>
          <w:sz w:val="28"/>
          <w:szCs w:val="28"/>
        </w:rPr>
        <w:t>投资风险报酬率，选用同期中国人民银行公布的一年期商业银行存款年利率；目前，中国人民银行公布的一年定期存款年利率为1.50%。</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fldChar w:fldCharType="begin"/>
      </w:r>
      <w:r>
        <w:rPr>
          <w:rFonts w:hint="eastAsia" w:ascii="仿宋_GB2312" w:hAnsi="Times New Roman" w:eastAsia="仿宋_GB2312" w:cs="Times New Roman"/>
          <w:snapToGrid w:val="0"/>
          <w:kern w:val="0"/>
          <w:sz w:val="28"/>
          <w:szCs w:val="28"/>
        </w:rPr>
        <w:instrText xml:space="preserve"> = 2 \* GB3 \* MERGEFORMAT </w:instrText>
      </w:r>
      <w:r>
        <w:rPr>
          <w:rFonts w:hint="eastAsia" w:ascii="仿宋_GB2312" w:hAnsi="Times New Roman" w:eastAsia="仿宋_GB2312" w:cs="Times New Roman"/>
          <w:snapToGrid w:val="0"/>
          <w:kern w:val="0"/>
          <w:sz w:val="28"/>
          <w:szCs w:val="28"/>
        </w:rPr>
        <w:fldChar w:fldCharType="separate"/>
      </w:r>
      <w:r>
        <w:rPr>
          <w:rFonts w:hint="eastAsia" w:ascii="仿宋_GB2312" w:hAnsi="Times New Roman" w:eastAsia="仿宋_GB2312" w:cs="Times New Roman"/>
          <w:snapToGrid w:val="0"/>
          <w:kern w:val="0"/>
          <w:sz w:val="28"/>
          <w:szCs w:val="28"/>
        </w:rPr>
        <w:t>②</w:t>
      </w:r>
      <w:r>
        <w:rPr>
          <w:rFonts w:hint="eastAsia" w:ascii="仿宋_GB2312" w:hAnsi="Times New Roman" w:eastAsia="仿宋_GB2312" w:cs="Times New Roman"/>
          <w:snapToGrid w:val="0"/>
          <w:kern w:val="0"/>
          <w:sz w:val="28"/>
          <w:szCs w:val="28"/>
        </w:rPr>
        <w:fldChar w:fldCharType="end"/>
      </w:r>
      <w:r>
        <w:rPr>
          <w:rFonts w:hint="eastAsia" w:ascii="仿宋_GB2312" w:hAnsi="Times New Roman" w:eastAsia="仿宋_GB2312" w:cs="Times New Roman"/>
          <w:snapToGrid w:val="0"/>
          <w:kern w:val="0"/>
          <w:sz w:val="28"/>
          <w:szCs w:val="28"/>
        </w:rPr>
        <w:t>根据估价人员调查行业相关情况，并结合估价人员的专业分析，认为投资风险补偿率的取值范围在0%--15%，而影响投资风险补偿率的主要因素有投资周期风险、退出损失风险、竞争能力风险、投资规模风险、收益稳定性风险、市场规模和成熟程度风险、市场失衡的可能性风险、政策风险等。估价人员通过对这些影响因素赋予一定的权重，对各项因素按高、中高、中、中低、低5个层次赋予分值，先求取加权平均分值，利用内部插值法得出投资风险补偿率。</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fldChar w:fldCharType="begin"/>
      </w:r>
      <w:r>
        <w:rPr>
          <w:rFonts w:hint="eastAsia" w:ascii="仿宋_GB2312" w:hAnsi="Times New Roman" w:eastAsia="仿宋_GB2312" w:cs="Times New Roman"/>
          <w:snapToGrid w:val="0"/>
          <w:kern w:val="0"/>
          <w:sz w:val="28"/>
          <w:szCs w:val="28"/>
        </w:rPr>
        <w:instrText xml:space="preserve"> = 3 \* GB3 \* MERGEFORMAT </w:instrText>
      </w:r>
      <w:r>
        <w:rPr>
          <w:rFonts w:hint="eastAsia" w:ascii="仿宋_GB2312" w:hAnsi="Times New Roman" w:eastAsia="仿宋_GB2312" w:cs="Times New Roman"/>
          <w:snapToGrid w:val="0"/>
          <w:kern w:val="0"/>
          <w:sz w:val="28"/>
          <w:szCs w:val="28"/>
        </w:rPr>
        <w:fldChar w:fldCharType="separate"/>
      </w:r>
      <w:r>
        <w:rPr>
          <w:rFonts w:hint="eastAsia" w:ascii="仿宋_GB2312" w:hAnsi="Times New Roman" w:eastAsia="仿宋_GB2312" w:cs="Times New Roman"/>
          <w:snapToGrid w:val="0"/>
          <w:kern w:val="0"/>
          <w:sz w:val="28"/>
          <w:szCs w:val="28"/>
        </w:rPr>
        <w:t>③</w:t>
      </w:r>
      <w:r>
        <w:rPr>
          <w:rFonts w:hint="eastAsia" w:ascii="仿宋_GB2312" w:hAnsi="Times New Roman" w:eastAsia="仿宋_GB2312" w:cs="Times New Roman"/>
          <w:snapToGrid w:val="0"/>
          <w:kern w:val="0"/>
          <w:sz w:val="28"/>
          <w:szCs w:val="28"/>
        </w:rPr>
        <w:fldChar w:fldCharType="end"/>
      </w:r>
      <w:r>
        <w:rPr>
          <w:rFonts w:hint="eastAsia" w:ascii="仿宋_GB2312" w:hAnsi="Times New Roman" w:eastAsia="仿宋_GB2312" w:cs="Times New Roman"/>
          <w:snapToGrid w:val="0"/>
          <w:kern w:val="0"/>
          <w:sz w:val="28"/>
          <w:szCs w:val="28"/>
        </w:rPr>
        <w:t>管理负担补偿率，根据估价人员调查行业相关情况，并结合估价人员的专业分析，认为管理负担补偿率的取值范围在0%--4%，而影响管理负担补偿率的主要因素有管理难易程度、管理对价值的影响程度、管理的成本费用水平、专业性等。估价人员通过对这些影响因素赋予一定的权重，对各项因素按高、中高、中、中低、低5个层次赋予分值，先求取加权平均分值，利用内部插值法得出管理负担补偿率。</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fldChar w:fldCharType="begin"/>
      </w:r>
      <w:r>
        <w:rPr>
          <w:rFonts w:hint="eastAsia" w:ascii="仿宋_GB2312" w:hAnsi="Times New Roman" w:eastAsia="仿宋_GB2312" w:cs="Times New Roman"/>
          <w:snapToGrid w:val="0"/>
          <w:kern w:val="0"/>
          <w:sz w:val="28"/>
          <w:szCs w:val="28"/>
        </w:rPr>
        <w:instrText xml:space="preserve"> = 4 \* GB3 \* MERGEFORMAT </w:instrText>
      </w:r>
      <w:r>
        <w:rPr>
          <w:rFonts w:hint="eastAsia" w:ascii="仿宋_GB2312" w:hAnsi="Times New Roman" w:eastAsia="仿宋_GB2312" w:cs="Times New Roman"/>
          <w:snapToGrid w:val="0"/>
          <w:kern w:val="0"/>
          <w:sz w:val="28"/>
          <w:szCs w:val="28"/>
        </w:rPr>
        <w:fldChar w:fldCharType="separate"/>
      </w:r>
      <w:r>
        <w:rPr>
          <w:rFonts w:hint="eastAsia" w:ascii="仿宋_GB2312" w:hAnsi="Times New Roman" w:eastAsia="仿宋_GB2312" w:cs="Times New Roman"/>
          <w:snapToGrid w:val="0"/>
          <w:kern w:val="0"/>
          <w:sz w:val="28"/>
          <w:szCs w:val="28"/>
        </w:rPr>
        <w:t>④</w:t>
      </w:r>
      <w:r>
        <w:rPr>
          <w:rFonts w:hint="eastAsia" w:ascii="仿宋_GB2312" w:hAnsi="Times New Roman" w:eastAsia="仿宋_GB2312" w:cs="Times New Roman"/>
          <w:snapToGrid w:val="0"/>
          <w:kern w:val="0"/>
          <w:sz w:val="28"/>
          <w:szCs w:val="28"/>
        </w:rPr>
        <w:fldChar w:fldCharType="end"/>
      </w:r>
      <w:r>
        <w:rPr>
          <w:rFonts w:hint="eastAsia" w:ascii="仿宋_GB2312" w:hAnsi="Times New Roman" w:eastAsia="仿宋_GB2312" w:cs="Times New Roman"/>
          <w:snapToGrid w:val="0"/>
          <w:kern w:val="0"/>
          <w:sz w:val="28"/>
          <w:szCs w:val="28"/>
        </w:rPr>
        <w:t>缺乏流动性补偿率，根据估价人员调查行业相关情况，并结合估价人员专业分析，估价对象为通用性物业，在市场上能自由出售，处于活跃市场状态，无其他限制条件，详见下表B：</w:t>
      </w:r>
    </w:p>
    <w:tbl>
      <w:tblPr>
        <w:tblStyle w:val="45"/>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9"/>
        <w:gridCol w:w="1851"/>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tcPr>
          <w:p>
            <w:pPr>
              <w:spacing w:line="480" w:lineRule="exact"/>
              <w:jc w:val="center"/>
              <w:rPr>
                <w:rFonts w:ascii="仿宋_GB2312" w:hAnsi="仿宋" w:eastAsia="仿宋_GB2312" w:cs="仿宋"/>
                <w:szCs w:val="21"/>
              </w:rPr>
            </w:pPr>
            <w:r>
              <w:rPr>
                <w:rFonts w:hint="eastAsia" w:ascii="仿宋_GB2312" w:hAnsi="仿宋" w:eastAsia="仿宋_GB2312" w:cs="仿宋"/>
                <w:b/>
                <w:bCs/>
                <w:szCs w:val="21"/>
              </w:rPr>
              <w:t>若房地产为通用性物业</w:t>
            </w:r>
          </w:p>
        </w:tc>
        <w:tc>
          <w:tcPr>
            <w:tcW w:w="1851" w:type="dxa"/>
          </w:tcPr>
          <w:p>
            <w:pPr>
              <w:spacing w:line="480" w:lineRule="exact"/>
              <w:jc w:val="center"/>
              <w:rPr>
                <w:rFonts w:ascii="仿宋_GB2312" w:hAnsi="仿宋" w:eastAsia="仿宋_GB2312" w:cs="仿宋"/>
                <w:szCs w:val="21"/>
              </w:rPr>
            </w:pPr>
          </w:p>
        </w:tc>
        <w:tc>
          <w:tcPr>
            <w:tcW w:w="1313" w:type="dxa"/>
          </w:tcPr>
          <w:p>
            <w:pPr>
              <w:spacing w:line="480" w:lineRule="exact"/>
              <w:jc w:val="center"/>
              <w:rPr>
                <w:rFonts w:ascii="仿宋_GB2312" w:hAnsi="仿宋" w:eastAsia="仿宋_GB2312" w:cs="仿宋"/>
                <w:szCs w:val="21"/>
              </w:rPr>
            </w:pPr>
            <w:r>
              <w:rPr>
                <w:rFonts w:hint="eastAsia" w:ascii="仿宋_GB2312" w:hAnsi="仿宋" w:eastAsia="仿宋_GB2312" w:cs="仿宋"/>
                <w:szCs w:val="21"/>
              </w:rPr>
              <w:t>判定状况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能自由出售，不受管制</w:t>
            </w:r>
          </w:p>
        </w:tc>
        <w:tc>
          <w:tcPr>
            <w:tcW w:w="1851" w:type="dxa"/>
            <w:vMerge w:val="restart"/>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流动性最大</w:t>
            </w:r>
          </w:p>
        </w:tc>
        <w:tc>
          <w:tcPr>
            <w:tcW w:w="1313" w:type="dxa"/>
            <w:vMerge w:val="restart"/>
          </w:tcPr>
          <w:p>
            <w:pPr>
              <w:spacing w:line="480" w:lineRule="exact"/>
              <w:jc w:val="center"/>
              <w:rPr>
                <w:rFonts w:ascii="仿宋_GB2312" w:hAnsi="仿宋" w:eastAsia="仿宋_GB2312" w:cs="仿宋"/>
                <w:szCs w:val="21"/>
              </w:rPr>
            </w:pPr>
            <w:r>
              <w:rPr>
                <w:rFonts w:hint="eastAsia" w:ascii="仿宋_GB2312" w:hAnsi="仿宋" w:eastAsia="仿宋_GB2312" w:cs="仿宋"/>
                <w:szCs w:val="21"/>
              </w:rPr>
              <w:t>2.05%</w:t>
            </w:r>
          </w:p>
          <w:p>
            <w:pPr>
              <w:spacing w:line="480" w:lineRule="exact"/>
              <w:jc w:val="center"/>
              <w:rPr>
                <w:rFonts w:ascii="仿宋_GB2312" w:hAnsi="仿宋" w:eastAsia="仿宋_GB2312" w:cs="仿宋"/>
                <w:szCs w:val="21"/>
              </w:rPr>
            </w:pPr>
          </w:p>
          <w:p>
            <w:pPr>
              <w:spacing w:line="480" w:lineRule="exact"/>
              <w:jc w:val="center"/>
              <w:rPr>
                <w:rFonts w:ascii="仿宋_GB2312" w:hAnsi="仿宋" w:eastAsia="仿宋_GB2312" w:cs="仿宋"/>
                <w:szCs w:val="21"/>
              </w:rPr>
            </w:pPr>
          </w:p>
          <w:p>
            <w:pPr>
              <w:spacing w:line="480" w:lineRule="exact"/>
              <w:jc w:val="center"/>
              <w:rPr>
                <w:rFonts w:ascii="仿宋_GB2312" w:hAnsi="仿宋" w:eastAsia="仿宋_GB2312" w:cs="仿宋"/>
                <w:szCs w:val="21"/>
              </w:rPr>
            </w:pPr>
          </w:p>
          <w:p>
            <w:pPr>
              <w:spacing w:line="480" w:lineRule="exact"/>
              <w:jc w:val="center"/>
              <w:rPr>
                <w:rFonts w:ascii="仿宋_GB2312" w:hAnsi="仿宋" w:eastAsia="仿宋_GB2312" w:cs="仿宋"/>
                <w:szCs w:val="21"/>
              </w:rPr>
            </w:pPr>
          </w:p>
          <w:p>
            <w:pPr>
              <w:spacing w:line="480" w:lineRule="exact"/>
              <w:jc w:val="center"/>
              <w:rPr>
                <w:rFonts w:ascii="仿宋_GB2312" w:hAnsi="仿宋" w:eastAsia="仿宋_GB2312" w:cs="仿宋"/>
                <w:szCs w:val="21"/>
              </w:rPr>
            </w:pPr>
          </w:p>
          <w:p>
            <w:pPr>
              <w:spacing w:line="480" w:lineRule="exact"/>
              <w:jc w:val="center"/>
              <w:rPr>
                <w:rFonts w:ascii="仿宋_GB2312" w:hAnsi="仿宋" w:eastAsia="仿宋_GB2312" w:cs="仿宋"/>
                <w:szCs w:val="21"/>
              </w:rPr>
            </w:pPr>
          </w:p>
          <w:p>
            <w:pPr>
              <w:spacing w:line="480" w:lineRule="exact"/>
              <w:jc w:val="center"/>
              <w:rPr>
                <w:rFonts w:ascii="仿宋_GB2312" w:hAnsi="仿宋" w:eastAsia="仿宋_GB2312" w:cs="仿宋"/>
                <w:szCs w:val="21"/>
              </w:rPr>
            </w:pPr>
          </w:p>
          <w:p>
            <w:pPr>
              <w:spacing w:line="480" w:lineRule="exact"/>
              <w:jc w:val="center"/>
              <w:rPr>
                <w:rFonts w:ascii="仿宋_GB2312" w:hAnsi="仿宋" w:eastAsia="仿宋_GB2312" w:cs="仿宋"/>
                <w:szCs w:val="21"/>
              </w:rPr>
            </w:pPr>
          </w:p>
          <w:p>
            <w:pPr>
              <w:spacing w:line="480" w:lineRule="exact"/>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活跃市场</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非活跃市场</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受限制性房地产，但有一定市场</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活跃市场</w:t>
            </w:r>
          </w:p>
        </w:tc>
        <w:tc>
          <w:tcPr>
            <w:tcW w:w="1851" w:type="dxa"/>
            <w:vMerge w:val="restart"/>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           ∣             ∣             ∣                ∣              ∣           ∣             ∣                ∣             ∣           ∣            ↓</w:t>
            </w: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非活跃市场</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b/>
                <w:bCs/>
                <w:color w:val="000000"/>
                <w:kern w:val="0"/>
                <w:sz w:val="20"/>
                <w:lang w:bidi="ar"/>
              </w:rPr>
              <w:t>若房地产为专业性物业</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能自由出售，不受管制</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有市场证据：</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具有意义的替代数据（租金、成本、造价等）</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无替代数据（租金、成本、造价等）</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无市场证据：</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具有意义的替代数据（租金、成本、造价等）</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无替代数据（租金、成本、造价等）</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受管制，不能自由出售</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有市场证据：</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具有意义的替代数据（租金、成本、造价等）</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无替代数据（租金、成本、造价等）</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无市场证据：</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具有意义的替代数据（租金、成本、造价等）</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无替代数据（租金、成本、造价等）</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jc w:val="center"/>
              <w:rPr>
                <w:rFonts w:ascii="仿宋_GB2312" w:hAnsi="仿宋" w:eastAsia="仿宋_GB2312" w:cs="仿宋"/>
                <w:szCs w:val="21"/>
              </w:rPr>
            </w:pPr>
          </w:p>
        </w:tc>
        <w:tc>
          <w:tcPr>
            <w:tcW w:w="1851"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价值最受影响</w:t>
            </w:r>
          </w:p>
        </w:tc>
        <w:tc>
          <w:tcPr>
            <w:tcW w:w="1313" w:type="dxa"/>
            <w:vMerge w:val="continue"/>
          </w:tcPr>
          <w:p>
            <w:pPr>
              <w:spacing w:line="480" w:lineRule="exact"/>
              <w:rPr>
                <w:rFonts w:ascii="仿宋_GB2312" w:hAnsi="仿宋" w:eastAsia="仿宋_GB2312" w:cs="仿宋"/>
                <w:szCs w:val="21"/>
              </w:rPr>
            </w:pPr>
          </w:p>
        </w:tc>
      </w:tr>
    </w:tbl>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5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⑤</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投资带来的优惠率，易于获得融资的优惠率，根据估价人员调查行业相关情况，并结合估价人员的专业分析，估价对象作为房地产易于获得金融机构的抵押贷款支持，考虑此项因素。</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fldChar w:fldCharType="begin"/>
      </w:r>
      <w:r>
        <w:rPr>
          <w:rFonts w:hint="eastAsia" w:ascii="仿宋_GB2312" w:hAnsi="Times New Roman" w:eastAsia="仿宋_GB2312" w:cs="Times New Roman"/>
          <w:snapToGrid w:val="0"/>
          <w:kern w:val="0"/>
          <w:sz w:val="28"/>
          <w:szCs w:val="28"/>
        </w:rPr>
        <w:instrText xml:space="preserve"> = 6 \* GB3 \* MERGEFORMAT </w:instrText>
      </w:r>
      <w:r>
        <w:rPr>
          <w:rFonts w:hint="eastAsia" w:ascii="仿宋_GB2312" w:hAnsi="Times New Roman" w:eastAsia="仿宋_GB2312" w:cs="Times New Roman"/>
          <w:snapToGrid w:val="0"/>
          <w:kern w:val="0"/>
          <w:sz w:val="28"/>
          <w:szCs w:val="28"/>
        </w:rPr>
        <w:fldChar w:fldCharType="separate"/>
      </w:r>
      <w:r>
        <w:rPr>
          <w:rFonts w:hint="eastAsia" w:ascii="仿宋_GB2312" w:hAnsi="Times New Roman" w:eastAsia="仿宋_GB2312" w:cs="Times New Roman"/>
          <w:snapToGrid w:val="0"/>
          <w:kern w:val="0"/>
          <w:sz w:val="28"/>
          <w:szCs w:val="28"/>
        </w:rPr>
        <w:t>⑥</w:t>
      </w:r>
      <w:r>
        <w:rPr>
          <w:rFonts w:hint="eastAsia" w:ascii="仿宋_GB2312" w:hAnsi="Times New Roman" w:eastAsia="仿宋_GB2312" w:cs="Times New Roman"/>
          <w:snapToGrid w:val="0"/>
          <w:kern w:val="0"/>
          <w:sz w:val="28"/>
          <w:szCs w:val="28"/>
        </w:rPr>
        <w:fldChar w:fldCharType="end"/>
      </w:r>
      <w:r>
        <w:rPr>
          <w:rFonts w:hint="eastAsia" w:ascii="仿宋_GB2312" w:hAnsi="Times New Roman" w:eastAsia="仿宋_GB2312" w:cs="Times New Roman"/>
          <w:snapToGrid w:val="0"/>
          <w:kern w:val="0"/>
          <w:sz w:val="28"/>
          <w:szCs w:val="28"/>
        </w:rPr>
        <w:t>所得税抵扣的优惠率，根据估价人员调查行业相关情况，并结合估价人员专业分析，估价对象并未能获得所得税抵扣的优惠率，故不考虑所得税抵扣的优惠率。</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根据公式：</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hAnsi="Times New Roman" w:eastAsia="仿宋_GB2312" w:cs="Times New Roman"/>
          <w:snapToGrid w:val="0"/>
          <w:kern w:val="0"/>
          <w:sz w:val="28"/>
          <w:szCs w:val="28"/>
        </w:rPr>
        <w:t>折现率=无风险报酬率+投资风险补偿率+管理负担补偿率+缺乏流动性补偿率</w:t>
      </w:r>
      <w:r>
        <w:rPr>
          <w:rFonts w:hint="eastAsia" w:ascii="仿宋_GB2312" w:eastAsia="仿宋_GB2312"/>
          <w:snapToGrid w:val="0"/>
          <w:kern w:val="0"/>
          <w:sz w:val="28"/>
          <w:szCs w:val="28"/>
        </w:rPr>
        <w:t>-易于获得融资的优惠率-投资带来的优惠率</w:t>
      </w:r>
    </w:p>
    <w:p>
      <w:pPr>
        <w:tabs>
          <w:tab w:val="left" w:pos="0"/>
        </w:tabs>
        <w:adjustRightInd w:val="0"/>
        <w:snapToGrid w:val="0"/>
        <w:spacing w:line="480" w:lineRule="exact"/>
        <w:ind w:firstLine="480"/>
        <w:rPr>
          <w:rFonts w:ascii="仿宋_GB2312" w:eastAsia="仿宋_GB2312"/>
          <w:snapToGrid w:val="0"/>
          <w:color w:val="000000"/>
          <w:kern w:val="0"/>
          <w:sz w:val="28"/>
          <w:szCs w:val="28"/>
        </w:rPr>
      </w:pPr>
      <w:r>
        <w:rPr>
          <w:rFonts w:hint="eastAsia" w:ascii="仿宋_GB2312" w:eastAsia="仿宋_GB2312"/>
          <w:snapToGrid w:val="0"/>
          <w:kern w:val="0"/>
          <w:sz w:val="28"/>
          <w:szCs w:val="28"/>
        </w:rPr>
        <w:t>折现率</w:t>
      </w:r>
      <w:r>
        <w:rPr>
          <w:rFonts w:hint="eastAsia" w:ascii="仿宋_GB2312" w:eastAsia="仿宋_GB2312"/>
          <w:snapToGrid w:val="0"/>
          <w:color w:val="000000"/>
          <w:kern w:val="0"/>
          <w:sz w:val="28"/>
          <w:szCs w:val="28"/>
        </w:rPr>
        <w:t xml:space="preserve"> =1.50%+</w:t>
      </w:r>
      <w:r>
        <w:rPr>
          <w:rFonts w:hint="eastAsia" w:ascii="仿宋_GB2312" w:eastAsia="仿宋_GB2312"/>
          <w:snapToGrid w:val="0"/>
          <w:color w:val="000000"/>
          <w:kern w:val="0"/>
          <w:sz w:val="28"/>
          <w:szCs w:val="28"/>
          <w:lang w:val="en-US" w:eastAsia="zh-CN"/>
        </w:rPr>
        <w:t>2.40%</w:t>
      </w:r>
      <w:r>
        <w:rPr>
          <w:rFonts w:hint="eastAsia" w:ascii="仿宋_GB2312" w:eastAsia="仿宋_GB2312"/>
          <w:snapToGrid w:val="0"/>
          <w:color w:val="000000"/>
          <w:kern w:val="0"/>
          <w:sz w:val="28"/>
          <w:szCs w:val="28"/>
        </w:rPr>
        <w:t>+0.</w:t>
      </w:r>
      <w:r>
        <w:rPr>
          <w:rFonts w:hint="eastAsia" w:ascii="仿宋_GB2312" w:eastAsia="仿宋_GB2312"/>
          <w:snapToGrid w:val="0"/>
          <w:color w:val="000000"/>
          <w:kern w:val="0"/>
          <w:sz w:val="28"/>
          <w:szCs w:val="28"/>
          <w:lang w:val="en-US" w:eastAsia="zh-CN"/>
        </w:rPr>
        <w:t>4</w:t>
      </w:r>
      <w:r>
        <w:rPr>
          <w:rFonts w:hint="eastAsia" w:ascii="仿宋_GB2312" w:eastAsia="仿宋_GB2312"/>
          <w:snapToGrid w:val="0"/>
          <w:color w:val="000000"/>
          <w:kern w:val="0"/>
          <w:sz w:val="28"/>
          <w:szCs w:val="28"/>
        </w:rPr>
        <w:t>0%+2.0</w:t>
      </w:r>
      <w:r>
        <w:rPr>
          <w:rFonts w:hint="eastAsia" w:ascii="仿宋_GB2312" w:eastAsia="仿宋_GB2312"/>
          <w:snapToGrid w:val="0"/>
          <w:color w:val="000000"/>
          <w:kern w:val="0"/>
          <w:sz w:val="28"/>
          <w:szCs w:val="28"/>
          <w:lang w:val="en-US" w:eastAsia="zh-CN"/>
        </w:rPr>
        <w:t>5</w:t>
      </w:r>
      <w:r>
        <w:rPr>
          <w:rFonts w:hint="eastAsia" w:ascii="仿宋_GB2312" w:eastAsia="仿宋_GB2312"/>
          <w:snapToGrid w:val="0"/>
          <w:color w:val="000000"/>
          <w:kern w:val="0"/>
          <w:sz w:val="28"/>
          <w:szCs w:val="28"/>
        </w:rPr>
        <w:t>%-1.50%-0.00%</w:t>
      </w:r>
    </w:p>
    <w:p>
      <w:pPr>
        <w:tabs>
          <w:tab w:val="left" w:pos="0"/>
        </w:tabs>
        <w:adjustRightInd w:val="0"/>
        <w:snapToGrid w:val="0"/>
        <w:spacing w:line="480" w:lineRule="exact"/>
        <w:ind w:firstLine="1472" w:firstLineChars="437"/>
        <w:rPr>
          <w:rFonts w:ascii="仿宋_GB2312" w:eastAsia="仿宋_GB2312"/>
          <w:snapToGrid w:val="0"/>
          <w:color w:val="000000"/>
          <w:kern w:val="0"/>
          <w:sz w:val="28"/>
          <w:szCs w:val="28"/>
        </w:rPr>
      </w:pPr>
      <w:r>
        <w:rPr>
          <w:rFonts w:hint="eastAsia" w:ascii="仿宋_GB2312" w:eastAsia="仿宋_GB2312"/>
          <w:snapToGrid w:val="0"/>
          <w:color w:val="000000"/>
          <w:kern w:val="0"/>
          <w:sz w:val="28"/>
          <w:szCs w:val="28"/>
        </w:rPr>
        <w:t>=</w:t>
      </w:r>
      <w:r>
        <w:rPr>
          <w:rFonts w:hint="eastAsia" w:ascii="仿宋_GB2312" w:eastAsia="仿宋_GB2312"/>
          <w:snapToGrid w:val="0"/>
          <w:color w:val="000000"/>
          <w:kern w:val="0"/>
          <w:sz w:val="28"/>
          <w:szCs w:val="28"/>
          <w:lang w:val="en-US" w:eastAsia="zh-CN"/>
        </w:rPr>
        <w:t>4.85</w:t>
      </w:r>
      <w:r>
        <w:rPr>
          <w:rFonts w:hint="eastAsia" w:ascii="仿宋_GB2312" w:eastAsia="仿宋_GB2312"/>
          <w:snapToGrid w:val="0"/>
          <w:color w:val="000000"/>
          <w:kern w:val="0"/>
          <w:sz w:val="28"/>
          <w:szCs w:val="28"/>
        </w:rPr>
        <w:t>%</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⑶ 确定未来可获收益的年限</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根据估价人员实地查勘，估价对象房屋建筑结构为钢混结构，建成于</w:t>
      </w:r>
      <w:r>
        <w:rPr>
          <w:rFonts w:hint="eastAsia" w:ascii="仿宋_GB2312" w:eastAsia="仿宋_GB2312" w:cs="Times New Roman"/>
          <w:snapToGrid w:val="0"/>
          <w:kern w:val="0"/>
          <w:sz w:val="28"/>
          <w:szCs w:val="28"/>
          <w:lang w:val="en-US" w:eastAsia="zh-CN"/>
        </w:rPr>
        <w:t>1988</w:t>
      </w:r>
      <w:r>
        <w:rPr>
          <w:rFonts w:hint="eastAsia" w:ascii="仿宋_GB2312" w:hAnsi="Times New Roman" w:eastAsia="仿宋_GB2312" w:cs="Times New Roman"/>
          <w:snapToGrid w:val="0"/>
          <w:kern w:val="0"/>
          <w:sz w:val="28"/>
          <w:szCs w:val="28"/>
          <w:lang w:val="en-US" w:eastAsia="zh-CN"/>
        </w:rPr>
        <w:t>年</w:t>
      </w:r>
      <w:r>
        <w:rPr>
          <w:rFonts w:hint="eastAsia" w:ascii="仿宋_GB2312" w:eastAsia="仿宋_GB2312" w:cs="Times New Roman"/>
          <w:snapToGrid w:val="0"/>
          <w:kern w:val="0"/>
          <w:sz w:val="28"/>
          <w:szCs w:val="28"/>
          <w:lang w:val="en-US" w:eastAsia="zh-CN"/>
        </w:rPr>
        <w:t>7月28</w:t>
      </w:r>
      <w:r>
        <w:rPr>
          <w:rFonts w:hint="eastAsia" w:ascii="仿宋_GB2312" w:hAnsi="Times New Roman" w:eastAsia="仿宋_GB2312" w:cs="Times New Roman"/>
          <w:snapToGrid w:val="0"/>
          <w:kern w:val="0"/>
          <w:sz w:val="28"/>
          <w:szCs w:val="28"/>
        </w:rPr>
        <w:t>，至估价时点，建筑物尚可使用年限为约</w:t>
      </w:r>
      <w:r>
        <w:rPr>
          <w:rFonts w:hint="eastAsia" w:ascii="仿宋_GB2312" w:eastAsia="仿宋_GB2312" w:cs="Times New Roman"/>
          <w:snapToGrid w:val="0"/>
          <w:kern w:val="0"/>
          <w:sz w:val="28"/>
          <w:szCs w:val="28"/>
          <w:lang w:val="en-US" w:eastAsia="zh-CN"/>
        </w:rPr>
        <w:t>14.49</w:t>
      </w:r>
      <w:r>
        <w:rPr>
          <w:rFonts w:hint="eastAsia" w:ascii="仿宋_GB2312" w:hAnsi="Times New Roman" w:eastAsia="仿宋_GB2312" w:cs="Times New Roman"/>
          <w:snapToGrid w:val="0"/>
          <w:kern w:val="0"/>
          <w:sz w:val="28"/>
          <w:szCs w:val="28"/>
        </w:rPr>
        <w:t>年。</w:t>
      </w:r>
      <w:r>
        <w:rPr>
          <w:rFonts w:hint="eastAsia" w:ascii="仿宋_GB2312" w:eastAsia="仿宋_GB2312"/>
          <w:snapToGrid w:val="0"/>
          <w:color w:val="000000" w:themeColor="text1"/>
          <w:kern w:val="0"/>
          <w:sz w:val="28"/>
          <w:szCs w:val="28"/>
          <w14:textFill>
            <w14:solidFill>
              <w14:schemeClr w14:val="tx1"/>
            </w14:solidFill>
          </w14:textFill>
        </w:rPr>
        <w:t>估价对象《房屋所有权证》（权证号：粤房字第0944739号）登记日期为1989年1月8日，工业用地土地使用权最高法定年限为50年，截至价值时点20</w:t>
      </w:r>
      <w:r>
        <w:rPr>
          <w:rFonts w:hint="eastAsia" w:ascii="仿宋_GB2312" w:eastAsia="仿宋_GB2312"/>
          <w:snapToGrid w:val="0"/>
          <w:color w:val="000000" w:themeColor="text1"/>
          <w:kern w:val="0"/>
          <w:sz w:val="28"/>
          <w:szCs w:val="28"/>
          <w:lang w:val="en-US" w:eastAsia="zh-CN"/>
          <w14:textFill>
            <w14:solidFill>
              <w14:schemeClr w14:val="tx1"/>
            </w14:solidFill>
          </w14:textFill>
        </w:rPr>
        <w:t>24</w:t>
      </w:r>
      <w:r>
        <w:rPr>
          <w:rFonts w:hint="eastAsia" w:ascii="仿宋_GB2312" w:eastAsia="仿宋_GB2312"/>
          <w:snapToGrid w:val="0"/>
          <w:color w:val="000000" w:themeColor="text1"/>
          <w:kern w:val="0"/>
          <w:sz w:val="28"/>
          <w:szCs w:val="28"/>
          <w14:textFill>
            <w14:solidFill>
              <w14:schemeClr w14:val="tx1"/>
            </w14:solidFill>
          </w14:textFill>
        </w:rPr>
        <w:t>年2月</w:t>
      </w:r>
      <w:r>
        <w:rPr>
          <w:rFonts w:hint="eastAsia" w:ascii="仿宋_GB2312" w:eastAsia="仿宋_GB2312"/>
          <w:snapToGrid w:val="0"/>
          <w:color w:val="000000" w:themeColor="text1"/>
          <w:kern w:val="0"/>
          <w:sz w:val="28"/>
          <w:szCs w:val="28"/>
          <w:lang w:val="en-US" w:eastAsia="zh-CN"/>
          <w14:textFill>
            <w14:solidFill>
              <w14:schemeClr w14:val="tx1"/>
            </w14:solidFill>
          </w14:textFill>
        </w:rPr>
        <w:t>1</w:t>
      </w:r>
      <w:r>
        <w:rPr>
          <w:rFonts w:hint="eastAsia" w:ascii="仿宋_GB2312" w:eastAsia="仿宋_GB2312"/>
          <w:snapToGrid w:val="0"/>
          <w:color w:val="000000" w:themeColor="text1"/>
          <w:kern w:val="0"/>
          <w:sz w:val="28"/>
          <w:szCs w:val="28"/>
          <w14:textFill>
            <w14:solidFill>
              <w14:schemeClr w14:val="tx1"/>
            </w14:solidFill>
          </w14:textFill>
        </w:rPr>
        <w:t>日计算，剩余受益年限为</w:t>
      </w:r>
      <w:r>
        <w:rPr>
          <w:rFonts w:hint="eastAsia" w:ascii="仿宋_GB2312" w:eastAsia="仿宋_GB2312"/>
          <w:snapToGrid w:val="0"/>
          <w:color w:val="000000" w:themeColor="text1"/>
          <w:kern w:val="0"/>
          <w:sz w:val="28"/>
          <w:szCs w:val="28"/>
          <w:lang w:val="en-US" w:eastAsia="zh-CN"/>
          <w14:textFill>
            <w14:solidFill>
              <w14:schemeClr w14:val="tx1"/>
            </w14:solidFill>
          </w14:textFill>
        </w:rPr>
        <w:t>14.93</w:t>
      </w:r>
      <w:r>
        <w:rPr>
          <w:rFonts w:hint="eastAsia" w:ascii="仿宋_GB2312" w:eastAsia="仿宋_GB2312"/>
          <w:snapToGrid w:val="0"/>
          <w:color w:val="000000" w:themeColor="text1"/>
          <w:kern w:val="0"/>
          <w:sz w:val="28"/>
          <w:szCs w:val="28"/>
          <w14:textFill>
            <w14:solidFill>
              <w14:schemeClr w14:val="tx1"/>
            </w14:solidFill>
          </w14:textFill>
        </w:rPr>
        <w:t>年</w:t>
      </w:r>
      <w:r>
        <w:rPr>
          <w:rFonts w:hint="eastAsia" w:ascii="仿宋_GB2312" w:hAnsi="Times New Roman" w:eastAsia="仿宋_GB2312" w:cs="Times New Roman"/>
          <w:snapToGrid w:val="0"/>
          <w:kern w:val="0"/>
          <w:sz w:val="28"/>
          <w:szCs w:val="28"/>
        </w:rPr>
        <w:t>，由于建筑物尚可使用年限</w:t>
      </w:r>
      <w:r>
        <w:rPr>
          <w:rFonts w:hint="eastAsia" w:ascii="仿宋_GB2312" w:hAnsi="Times New Roman" w:eastAsia="仿宋_GB2312" w:cs="Times New Roman"/>
          <w:snapToGrid w:val="0"/>
          <w:kern w:val="0"/>
          <w:sz w:val="28"/>
          <w:szCs w:val="28"/>
          <w:lang w:eastAsia="zh-CN"/>
        </w:rPr>
        <w:t>早于</w:t>
      </w:r>
      <w:r>
        <w:rPr>
          <w:rFonts w:hint="eastAsia" w:ascii="仿宋_GB2312" w:hAnsi="Times New Roman" w:eastAsia="仿宋_GB2312" w:cs="Times New Roman"/>
          <w:snapToGrid w:val="0"/>
          <w:kern w:val="0"/>
          <w:sz w:val="28"/>
          <w:szCs w:val="28"/>
        </w:rPr>
        <w:t>土地剩余使用年限结束，</w:t>
      </w:r>
      <w:r>
        <w:rPr>
          <w:rFonts w:hint="eastAsia" w:ascii="仿宋_GB2312" w:eastAsia="仿宋_GB2312" w:cs="Times New Roman"/>
          <w:snapToGrid w:val="0"/>
          <w:kern w:val="0"/>
          <w:sz w:val="28"/>
          <w:szCs w:val="28"/>
          <w:lang w:val="en-US" w:eastAsia="zh-CN"/>
        </w:rPr>
        <w:t>根据孰短原则，</w:t>
      </w:r>
      <w:r>
        <w:rPr>
          <w:rFonts w:hint="eastAsia" w:ascii="仿宋_GB2312" w:hAnsi="Times New Roman" w:eastAsia="仿宋_GB2312" w:cs="Times New Roman"/>
          <w:snapToGrid w:val="0"/>
          <w:kern w:val="0"/>
          <w:sz w:val="28"/>
          <w:szCs w:val="28"/>
        </w:rPr>
        <w:t>故本次收益年期根据估价对象建筑物尚可使用年限确定，即n＝</w:t>
      </w:r>
      <w:r>
        <w:rPr>
          <w:rFonts w:hint="eastAsia" w:ascii="仿宋_GB2312" w:eastAsia="仿宋_GB2312" w:cs="Times New Roman"/>
          <w:snapToGrid w:val="0"/>
          <w:kern w:val="0"/>
          <w:sz w:val="28"/>
          <w:szCs w:val="28"/>
          <w:lang w:val="en-US" w:eastAsia="zh-CN"/>
        </w:rPr>
        <w:t>14.49年</w:t>
      </w:r>
      <w:r>
        <w:rPr>
          <w:rFonts w:hint="eastAsia" w:ascii="仿宋_GB2312" w:hAnsi="Times New Roman" w:eastAsia="仿宋_GB2312" w:cs="Times New Roman"/>
          <w:snapToGrid w:val="0"/>
          <w:kern w:val="0"/>
          <w:sz w:val="28"/>
          <w:szCs w:val="28"/>
        </w:rPr>
        <w:t>。</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⑷净收益变化趋势分析：</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经过估价人员对该估价对象所在区域的房地产市场进行调查及分析,随着市场的不断调整规范，设施的不断完善，租赁价格有一定的上涨空间，租赁市场较为活跃,类似房地产近几年租金水平一直有所上涨,估价对象净收益呈逐年递增趋势，经过市场预热期后现已经进入了平稳经营状态，年收益在未来相当长的时间内会相对稳定，估价对象未来的运营费用大部分与其经营所产生的收入呈正比关系，本次评估我们采用递增收益法进行估价作业，本着谨慎客观的估价态度，我们可以合理预测,在未来收益年限内,净收益每年递增</w:t>
      </w:r>
      <w:r>
        <w:rPr>
          <w:rFonts w:hint="eastAsia" w:ascii="仿宋_GB2312" w:eastAsia="仿宋_GB2312"/>
          <w:snapToGrid w:val="0"/>
          <w:kern w:val="0"/>
          <w:sz w:val="28"/>
          <w:szCs w:val="28"/>
          <w:lang w:val="en-US" w:eastAsia="zh-CN"/>
        </w:rPr>
        <w:t>3.00</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⑸确定估价对象的客观合理价值</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收益法公式：本次评估采用收益递增的公式。</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P=A/(Y- g) ×[1-（1+g）^n /（Y+1）^n]</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其中 P：收益价格</w:t>
      </w:r>
    </w:p>
    <w:p>
      <w:pPr>
        <w:tabs>
          <w:tab w:val="left" w:pos="0"/>
        </w:tabs>
        <w:adjustRightInd w:val="0"/>
        <w:snapToGrid w:val="0"/>
        <w:spacing w:line="480" w:lineRule="exact"/>
        <w:ind w:firstLine="1142" w:firstLineChars="339"/>
        <w:rPr>
          <w:rFonts w:ascii="仿宋_GB2312" w:eastAsia="仿宋_GB2312"/>
          <w:snapToGrid w:val="0"/>
          <w:kern w:val="0"/>
          <w:sz w:val="28"/>
          <w:szCs w:val="28"/>
        </w:rPr>
      </w:pPr>
      <w:r>
        <w:rPr>
          <w:rFonts w:hint="eastAsia" w:ascii="仿宋_GB2312" w:eastAsia="仿宋_GB2312"/>
          <w:snapToGrid w:val="0"/>
          <w:kern w:val="0"/>
          <w:sz w:val="28"/>
          <w:szCs w:val="28"/>
        </w:rPr>
        <w:t>A: 年净收益</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 xml:space="preserve">     Y：资本化率</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 xml:space="preserve">     g:年收益递增率</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 xml:space="preserve">     n：收益年限</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P=A/(Y- g) ×[1-（1+g）^n /（Y+1）^n]</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 xml:space="preserve">111.12 </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4.85</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3.00</w:t>
      </w:r>
      <w:r>
        <w:rPr>
          <w:rFonts w:hint="eastAsia" w:ascii="仿宋_GB2312" w:eastAsia="仿宋_GB2312"/>
          <w:snapToGrid w:val="0"/>
          <w:kern w:val="0"/>
          <w:sz w:val="28"/>
          <w:szCs w:val="28"/>
        </w:rPr>
        <w:t>%) ×[1-（1+</w:t>
      </w:r>
      <w:r>
        <w:rPr>
          <w:rFonts w:hint="eastAsia" w:ascii="仿宋_GB2312" w:eastAsia="仿宋_GB2312"/>
          <w:snapToGrid w:val="0"/>
          <w:kern w:val="0"/>
          <w:sz w:val="28"/>
          <w:szCs w:val="28"/>
          <w:lang w:val="en-US" w:eastAsia="zh-CN"/>
        </w:rPr>
        <w:t>3.00</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14.49</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4.85</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w:t>
      </w:r>
      <w:r>
        <w:rPr>
          <w:rFonts w:hint="eastAsia" w:ascii="仿宋_GB2312" w:eastAsia="仿宋_GB2312"/>
          <w:snapToGrid w:val="0"/>
          <w:kern w:val="0"/>
          <w:sz w:val="28"/>
          <w:szCs w:val="28"/>
        </w:rPr>
        <w:t>1）^</w:t>
      </w:r>
      <w:r>
        <w:rPr>
          <w:rFonts w:hint="eastAsia" w:ascii="仿宋_GB2312" w:eastAsia="仿宋_GB2312"/>
          <w:snapToGrid w:val="0"/>
          <w:kern w:val="0"/>
          <w:sz w:val="28"/>
          <w:szCs w:val="28"/>
          <w:lang w:val="en-US" w:eastAsia="zh-CN"/>
        </w:rPr>
        <w:t>14.49</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1370</w:t>
      </w:r>
      <w:r>
        <w:rPr>
          <w:rFonts w:hint="eastAsia" w:ascii="仿宋_GB2312" w:eastAsia="仿宋_GB2312"/>
          <w:snapToGrid w:val="0"/>
          <w:kern w:val="0"/>
          <w:sz w:val="28"/>
          <w:szCs w:val="28"/>
        </w:rPr>
        <w:t>元/平方米（取整至</w:t>
      </w:r>
      <w:r>
        <w:rPr>
          <w:rFonts w:hint="eastAsia" w:ascii="仿宋_GB2312" w:eastAsia="仿宋_GB2312"/>
          <w:snapToGrid w:val="0"/>
          <w:kern w:val="0"/>
          <w:sz w:val="28"/>
          <w:szCs w:val="28"/>
          <w:lang w:val="en-US" w:eastAsia="zh-CN"/>
        </w:rPr>
        <w:t>十</w:t>
      </w:r>
      <w:r>
        <w:rPr>
          <w:rFonts w:hint="eastAsia" w:ascii="仿宋_GB2312" w:eastAsia="仿宋_GB2312"/>
          <w:snapToGrid w:val="0"/>
          <w:kern w:val="0"/>
          <w:sz w:val="28"/>
          <w:szCs w:val="28"/>
        </w:rPr>
        <w:t>位）</w:t>
      </w:r>
    </w:p>
    <w:bookmarkEnd w:id="48"/>
    <w:bookmarkEnd w:id="49"/>
    <w:p>
      <w:pPr>
        <w:pStyle w:val="18"/>
        <w:spacing w:line="440" w:lineRule="exact"/>
        <w:rPr>
          <w:rFonts w:ascii="仿宋_GB2312" w:eastAsia="仿宋_GB2312"/>
          <w:b/>
          <w:snapToGrid w:val="0"/>
          <w:kern w:val="0"/>
          <w:szCs w:val="28"/>
        </w:rPr>
      </w:pPr>
      <w:r>
        <w:rPr>
          <w:rFonts w:hint="eastAsia" w:ascii="仿宋_GB2312" w:eastAsia="仿宋_GB2312"/>
          <w:b/>
          <w:snapToGrid w:val="0"/>
          <w:kern w:val="0"/>
          <w:szCs w:val="28"/>
        </w:rPr>
        <w:t>三、估价结果的确定：</w:t>
      </w:r>
    </w:p>
    <w:p>
      <w:pPr>
        <w:adjustRightInd w:val="0"/>
        <w:snapToGrid w:val="0"/>
        <w:spacing w:line="360" w:lineRule="auto"/>
        <w:ind w:firstLine="491" w:firstLineChars="146"/>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本次采用了</w:t>
      </w:r>
      <w:r>
        <w:rPr>
          <w:rFonts w:hint="eastAsia" w:ascii="仿宋_GB2312" w:hAnsi="Times New Roman" w:eastAsia="仿宋_GB2312" w:cs="Times New Roman"/>
          <w:snapToGrid w:val="0"/>
          <w:kern w:val="0"/>
          <w:sz w:val="28"/>
          <w:szCs w:val="28"/>
          <w:lang w:val="en-US" w:eastAsia="zh-CN"/>
        </w:rPr>
        <w:t>比较法</w:t>
      </w:r>
      <w:r>
        <w:rPr>
          <w:rFonts w:hint="eastAsia" w:ascii="仿宋_GB2312" w:hAnsi="Times New Roman" w:eastAsia="仿宋_GB2312" w:cs="Times New Roman"/>
          <w:snapToGrid w:val="0"/>
          <w:kern w:val="0"/>
          <w:sz w:val="28"/>
          <w:szCs w:val="28"/>
        </w:rPr>
        <w:t>和收益法进行了评估测算，估价结果分别为</w:t>
      </w:r>
      <w:r>
        <w:rPr>
          <w:rFonts w:hint="eastAsia" w:ascii="仿宋_GB2312" w:hAnsi="Times New Roman" w:eastAsia="仿宋_GB2312" w:cs="Times New Roman"/>
          <w:snapToGrid w:val="0"/>
          <w:kern w:val="0"/>
          <w:sz w:val="28"/>
          <w:szCs w:val="28"/>
          <w:lang w:val="en-US" w:eastAsia="zh-CN"/>
        </w:rPr>
        <w:t>比较法2</w:t>
      </w:r>
      <w:r>
        <w:rPr>
          <w:rFonts w:hint="eastAsia" w:ascii="仿宋_GB2312" w:eastAsia="仿宋_GB2312" w:cs="Times New Roman"/>
          <w:snapToGrid w:val="0"/>
          <w:kern w:val="0"/>
          <w:sz w:val="28"/>
          <w:szCs w:val="28"/>
          <w:lang w:val="en-US" w:eastAsia="zh-CN"/>
        </w:rPr>
        <w:t>0</w:t>
      </w:r>
      <w:r>
        <w:rPr>
          <w:rFonts w:hint="eastAsia" w:ascii="仿宋_GB2312" w:hAnsi="Times New Roman" w:eastAsia="仿宋_GB2312" w:cs="Times New Roman"/>
          <w:snapToGrid w:val="0"/>
          <w:kern w:val="0"/>
          <w:sz w:val="28"/>
          <w:szCs w:val="28"/>
          <w:lang w:val="en-US" w:eastAsia="zh-CN"/>
        </w:rPr>
        <w:t xml:space="preserve">00.00 </w:t>
      </w:r>
      <w:r>
        <w:rPr>
          <w:rFonts w:hint="eastAsia" w:ascii="仿宋_GB2312" w:hAnsi="Times New Roman" w:eastAsia="仿宋_GB2312" w:cs="Times New Roman"/>
          <w:snapToGrid w:val="0"/>
          <w:kern w:val="0"/>
          <w:sz w:val="28"/>
          <w:szCs w:val="28"/>
        </w:rPr>
        <w:t>元/平方米、</w:t>
      </w:r>
      <w:r>
        <w:rPr>
          <w:rFonts w:hint="eastAsia" w:ascii="仿宋_GB2312" w:hAnsi="Times New Roman" w:eastAsia="仿宋_GB2312" w:cs="Times New Roman"/>
          <w:snapToGrid w:val="0"/>
          <w:kern w:val="0"/>
          <w:sz w:val="28"/>
          <w:szCs w:val="28"/>
          <w:lang w:val="en-US" w:eastAsia="zh-CN"/>
        </w:rPr>
        <w:t>收益法1370.00</w:t>
      </w:r>
      <w:r>
        <w:rPr>
          <w:rFonts w:hint="eastAsia" w:ascii="仿宋_GB2312" w:hAnsi="Times New Roman" w:eastAsia="仿宋_GB2312" w:cs="Times New Roman"/>
          <w:snapToGrid w:val="0"/>
          <w:kern w:val="0"/>
          <w:sz w:val="28"/>
          <w:szCs w:val="28"/>
        </w:rPr>
        <w:t>元/平方米，两种评估方法得出的结果有一</w:t>
      </w:r>
      <w:r>
        <w:rPr>
          <w:rFonts w:hint="eastAsia" w:ascii="仿宋_GB2312" w:eastAsia="仿宋_GB2312"/>
          <w:snapToGrid w:val="0"/>
          <w:kern w:val="0"/>
          <w:sz w:val="28"/>
          <w:szCs w:val="28"/>
        </w:rPr>
        <w:t>定的差异。其中</w:t>
      </w:r>
      <w:r>
        <w:rPr>
          <w:rFonts w:hint="eastAsia" w:ascii="仿宋_GB2312" w:hAnsi="宋体" w:eastAsia="仿宋_GB2312"/>
          <w:snapToGrid w:val="0"/>
          <w:color w:val="auto"/>
          <w:kern w:val="0"/>
          <w:sz w:val="28"/>
          <w:szCs w:val="28"/>
        </w:rPr>
        <w:t>比较法是指选取数宗真实成交且符合一定条件的类似房地产，将它们与估价对象进行比较，根据之间的差异对成交价格进行适当处理后得到估价对象价值的方法</w:t>
      </w:r>
      <w:r>
        <w:rPr>
          <w:rFonts w:hint="eastAsia" w:ascii="仿宋_GB2312" w:eastAsia="仿宋_GB2312"/>
          <w:snapToGrid w:val="0"/>
          <w:kern w:val="0"/>
          <w:sz w:val="28"/>
          <w:szCs w:val="28"/>
        </w:rPr>
        <w:t>；而收益法是以房地产的预期未来收益为导向来求取估价对象的价值，两种方法是从不同的思考角度进行测算的，结合估价对象特点和当前类似房地产市场状况，综合考虑后决定本次评估根据加权平均的结果（</w:t>
      </w:r>
      <w:r>
        <w:rPr>
          <w:rFonts w:hint="eastAsia" w:ascii="仿宋_GB2312" w:eastAsia="仿宋_GB2312"/>
          <w:snapToGrid w:val="0"/>
          <w:kern w:val="0"/>
          <w:sz w:val="28"/>
          <w:szCs w:val="28"/>
          <w:lang w:eastAsia="zh-CN"/>
        </w:rPr>
        <w:t>比较法</w:t>
      </w:r>
      <w:r>
        <w:rPr>
          <w:rFonts w:hint="eastAsia" w:ascii="仿宋_GB2312" w:eastAsia="仿宋_GB2312"/>
          <w:snapToGrid w:val="0"/>
          <w:kern w:val="0"/>
          <w:sz w:val="28"/>
          <w:szCs w:val="28"/>
        </w:rPr>
        <w:t>权值取</w:t>
      </w:r>
      <w:r>
        <w:rPr>
          <w:rFonts w:hint="eastAsia" w:ascii="仿宋_GB2312" w:eastAsia="仿宋_GB2312"/>
          <w:snapToGrid w:val="0"/>
          <w:kern w:val="0"/>
          <w:sz w:val="28"/>
          <w:szCs w:val="28"/>
          <w:lang w:val="en-US" w:eastAsia="zh-CN"/>
        </w:rPr>
        <w:t>0.7</w:t>
      </w:r>
      <w:r>
        <w:rPr>
          <w:rFonts w:hint="eastAsia" w:ascii="仿宋_GB2312" w:eastAsia="仿宋_GB2312"/>
          <w:snapToGrid w:val="0"/>
          <w:kern w:val="0"/>
          <w:sz w:val="28"/>
          <w:szCs w:val="28"/>
        </w:rPr>
        <w:t>，收益法权值取</w:t>
      </w:r>
      <w:r>
        <w:rPr>
          <w:rFonts w:hint="eastAsia" w:ascii="仿宋_GB2312" w:eastAsia="仿宋_GB2312"/>
          <w:snapToGrid w:val="0"/>
          <w:kern w:val="0"/>
          <w:sz w:val="28"/>
          <w:szCs w:val="28"/>
          <w:lang w:val="en-US" w:eastAsia="zh-CN"/>
        </w:rPr>
        <w:t>0.7</w:t>
      </w:r>
      <w:r>
        <w:rPr>
          <w:rFonts w:hint="eastAsia" w:ascii="仿宋_GB2312" w:eastAsia="仿宋_GB2312"/>
          <w:snapToGrid w:val="0"/>
          <w:kern w:val="0"/>
          <w:sz w:val="28"/>
          <w:szCs w:val="28"/>
        </w:rPr>
        <w:t>）作为最终估价结果如下：</w:t>
      </w:r>
      <w:r>
        <w:rPr>
          <w:rFonts w:hint="eastAsia" w:ascii="仿宋_GB2312" w:hAnsi="Times New Roman" w:eastAsia="仿宋_GB2312" w:cs="Times New Roman"/>
          <w:snapToGrid w:val="0"/>
          <w:kern w:val="0"/>
          <w:sz w:val="28"/>
          <w:szCs w:val="28"/>
        </w:rPr>
        <w:t>：</w:t>
      </w:r>
    </w:p>
    <w:p>
      <w:pPr>
        <w:tabs>
          <w:tab w:val="left" w:pos="0"/>
        </w:tabs>
        <w:adjustRightInd w:val="0"/>
        <w:snapToGrid w:val="0"/>
        <w:spacing w:line="480" w:lineRule="exact"/>
        <w:ind w:firstLine="480"/>
        <w:rPr>
          <w:rFonts w:hint="eastAsia" w:ascii="仿宋_GB2312" w:eastAsia="仿宋_GB2312" w:cs="Times New Roman"/>
          <w:snapToGrid w:val="0"/>
          <w:kern w:val="0"/>
          <w:sz w:val="28"/>
          <w:szCs w:val="28"/>
          <w:lang w:val="en-US" w:eastAsia="zh-CN"/>
        </w:rPr>
      </w:pPr>
      <w:r>
        <w:rPr>
          <w:rFonts w:hint="eastAsia" w:ascii="仿宋_GB2312" w:hAnsi="Times New Roman" w:eastAsia="仿宋_GB2312" w:cs="Times New Roman"/>
          <w:snapToGrid w:val="0"/>
          <w:kern w:val="0"/>
          <w:sz w:val="28"/>
          <w:szCs w:val="28"/>
        </w:rPr>
        <w:t>房地产单价 =</w:t>
      </w:r>
      <w:r>
        <w:rPr>
          <w:rFonts w:hint="eastAsia" w:ascii="仿宋_GB2312" w:eastAsia="仿宋_GB2312" w:cs="Times New Roman"/>
          <w:snapToGrid w:val="0"/>
          <w:kern w:val="0"/>
          <w:sz w:val="28"/>
          <w:szCs w:val="28"/>
          <w:lang w:val="en-US" w:eastAsia="zh-CN"/>
        </w:rPr>
        <w:t xml:space="preserve">2000.00 </w:t>
      </w:r>
      <w:r>
        <w:rPr>
          <w:rFonts w:hint="eastAsia" w:ascii="仿宋_GB2312" w:hAnsi="Times New Roman" w:eastAsia="仿宋_GB2312" w:cs="Times New Roman"/>
          <w:snapToGrid w:val="0"/>
          <w:kern w:val="0"/>
          <w:sz w:val="28"/>
          <w:szCs w:val="28"/>
        </w:rPr>
        <w:t>×0.</w:t>
      </w:r>
      <w:r>
        <w:rPr>
          <w:rFonts w:hint="eastAsia" w:ascii="仿宋_GB2312" w:eastAsia="仿宋_GB2312" w:cs="Times New Roman"/>
          <w:snapToGrid w:val="0"/>
          <w:kern w:val="0"/>
          <w:sz w:val="28"/>
          <w:szCs w:val="28"/>
          <w:lang w:val="en-US" w:eastAsia="zh-CN"/>
        </w:rPr>
        <w:t>3</w:t>
      </w:r>
      <w:r>
        <w:rPr>
          <w:rFonts w:hint="eastAsia" w:ascii="仿宋_GB2312" w:hAnsi="Times New Roman" w:eastAsia="仿宋_GB2312" w:cs="Times New Roman"/>
          <w:snapToGrid w:val="0"/>
          <w:kern w:val="0"/>
          <w:sz w:val="28"/>
          <w:szCs w:val="28"/>
        </w:rPr>
        <w:t>+</w:t>
      </w:r>
      <w:r>
        <w:rPr>
          <w:rFonts w:hint="eastAsia" w:ascii="仿宋_GB2312" w:eastAsia="仿宋_GB2312" w:cs="Times New Roman"/>
          <w:snapToGrid w:val="0"/>
          <w:kern w:val="0"/>
          <w:sz w:val="28"/>
          <w:szCs w:val="28"/>
          <w:lang w:val="en-US" w:eastAsia="zh-CN"/>
        </w:rPr>
        <w:t>1370.00</w:t>
      </w:r>
      <w:r>
        <w:rPr>
          <w:rFonts w:hint="eastAsia" w:ascii="仿宋_GB2312" w:hAnsi="Times New Roman" w:eastAsia="仿宋_GB2312" w:cs="Times New Roman"/>
          <w:snapToGrid w:val="0"/>
          <w:kern w:val="0"/>
          <w:sz w:val="28"/>
          <w:szCs w:val="28"/>
        </w:rPr>
        <w:t>×0.</w:t>
      </w:r>
      <w:r>
        <w:rPr>
          <w:rFonts w:hint="eastAsia" w:ascii="仿宋_GB2312" w:eastAsia="仿宋_GB2312" w:cs="Times New Roman"/>
          <w:snapToGrid w:val="0"/>
          <w:kern w:val="0"/>
          <w:sz w:val="28"/>
          <w:szCs w:val="28"/>
          <w:lang w:val="en-US" w:eastAsia="zh-CN"/>
        </w:rPr>
        <w:t>7</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w:t>
      </w:r>
      <w:r>
        <w:rPr>
          <w:rFonts w:hint="eastAsia" w:ascii="仿宋_GB2312" w:eastAsia="仿宋_GB2312" w:cs="Times New Roman"/>
          <w:snapToGrid w:val="0"/>
          <w:kern w:val="0"/>
          <w:sz w:val="28"/>
          <w:szCs w:val="28"/>
          <w:lang w:val="en-US" w:eastAsia="zh-CN"/>
        </w:rPr>
        <w:t>1560.00</w:t>
      </w:r>
      <w:r>
        <w:rPr>
          <w:rFonts w:hint="eastAsia" w:ascii="仿宋_GB2312" w:hAnsi="Times New Roman" w:eastAsia="仿宋_GB2312" w:cs="Times New Roman"/>
          <w:snapToGrid w:val="0"/>
          <w:kern w:val="0"/>
          <w:sz w:val="28"/>
          <w:szCs w:val="28"/>
        </w:rPr>
        <w:t>元/平方米（取整至</w:t>
      </w:r>
      <w:r>
        <w:rPr>
          <w:rFonts w:hint="eastAsia" w:ascii="仿宋_GB2312" w:eastAsia="仿宋_GB2312" w:cs="Times New Roman"/>
          <w:snapToGrid w:val="0"/>
          <w:kern w:val="0"/>
          <w:sz w:val="28"/>
          <w:szCs w:val="28"/>
          <w:lang w:val="en-US" w:eastAsia="zh-CN"/>
        </w:rPr>
        <w:t>百</w:t>
      </w:r>
      <w:r>
        <w:rPr>
          <w:rFonts w:hint="eastAsia" w:ascii="仿宋_GB2312" w:hAnsi="Times New Roman" w:eastAsia="仿宋_GB2312" w:cs="Times New Roman"/>
          <w:snapToGrid w:val="0"/>
          <w:kern w:val="0"/>
          <w:sz w:val="28"/>
          <w:szCs w:val="28"/>
        </w:rPr>
        <w:t>位）</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房地产总价=</w:t>
      </w:r>
      <w:r>
        <w:rPr>
          <w:rFonts w:hint="eastAsia" w:ascii="仿宋_GB2312" w:eastAsia="仿宋_GB2312" w:cs="Times New Roman"/>
          <w:snapToGrid w:val="0"/>
          <w:kern w:val="0"/>
          <w:sz w:val="28"/>
          <w:szCs w:val="28"/>
          <w:lang w:val="en-US" w:eastAsia="zh-CN"/>
        </w:rPr>
        <w:t>1560.00</w:t>
      </w:r>
      <w:r>
        <w:rPr>
          <w:rFonts w:hint="eastAsia" w:ascii="仿宋_GB2312" w:hAnsi="Times New Roman" w:eastAsia="仿宋_GB2312" w:cs="Times New Roman"/>
          <w:snapToGrid w:val="0"/>
          <w:kern w:val="0"/>
          <w:sz w:val="28"/>
          <w:szCs w:val="28"/>
        </w:rPr>
        <w:t>×</w:t>
      </w:r>
      <w:r>
        <w:rPr>
          <w:rFonts w:hint="eastAsia" w:ascii="仿宋_GB2312" w:eastAsia="仿宋_GB2312" w:cs="Times New Roman"/>
          <w:snapToGrid w:val="0"/>
          <w:kern w:val="0"/>
          <w:sz w:val="28"/>
          <w:szCs w:val="28"/>
          <w:lang w:val="en-US" w:eastAsia="zh-CN"/>
        </w:rPr>
        <w:t>1610</w:t>
      </w:r>
      <w:r>
        <w:rPr>
          <w:rFonts w:hint="eastAsia" w:ascii="仿宋_GB2312" w:hAnsi="Times New Roman" w:eastAsia="仿宋_GB2312" w:cs="Times New Roman"/>
          <w:snapToGrid w:val="0"/>
          <w:kern w:val="0"/>
          <w:sz w:val="28"/>
          <w:szCs w:val="28"/>
        </w:rPr>
        <w:t>÷10000</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 xml:space="preserve"> </w:t>
      </w:r>
      <w:r>
        <w:rPr>
          <w:rFonts w:hint="eastAsia" w:ascii="仿宋_GB2312" w:hAnsi="Times New Roman" w:eastAsia="仿宋_GB2312" w:cs="Times New Roman"/>
          <w:snapToGrid w:val="0"/>
          <w:kern w:val="0"/>
          <w:sz w:val="28"/>
          <w:szCs w:val="28"/>
          <w:lang w:val="en-US" w:eastAsia="zh-CN"/>
        </w:rPr>
        <w:t xml:space="preserve">         </w:t>
      </w:r>
      <w:r>
        <w:rPr>
          <w:rFonts w:hint="eastAsia" w:ascii="仿宋_GB2312" w:hAnsi="Times New Roman" w:eastAsia="仿宋_GB2312" w:cs="Times New Roman"/>
          <w:snapToGrid w:val="0"/>
          <w:kern w:val="0"/>
          <w:sz w:val="28"/>
          <w:szCs w:val="28"/>
        </w:rPr>
        <w:t>=</w:t>
      </w:r>
      <w:r>
        <w:rPr>
          <w:rFonts w:hint="eastAsia" w:ascii="仿宋_GB2312" w:eastAsia="仿宋_GB2312" w:cs="Times New Roman"/>
          <w:snapToGrid w:val="0"/>
          <w:kern w:val="0"/>
          <w:sz w:val="28"/>
          <w:szCs w:val="28"/>
          <w:lang w:val="en-US" w:eastAsia="zh-CN"/>
        </w:rPr>
        <w:t>251.16</w:t>
      </w:r>
      <w:r>
        <w:rPr>
          <w:rFonts w:hint="eastAsia" w:ascii="仿宋_GB2312" w:hAnsi="Times New Roman" w:eastAsia="仿宋_GB2312" w:cs="Times New Roman"/>
          <w:snapToGrid w:val="0"/>
          <w:kern w:val="0"/>
          <w:sz w:val="28"/>
          <w:szCs w:val="28"/>
        </w:rPr>
        <w:t>万元（取整至百位）</w:t>
      </w:r>
    </w:p>
    <w:p>
      <w:pPr>
        <w:spacing w:line="600" w:lineRule="exact"/>
        <w:ind w:firstLine="674" w:firstLineChars="200"/>
        <w:contextualSpacing/>
        <w:rPr>
          <w:rFonts w:hint="eastAsia" w:ascii="仿宋_GB2312" w:hAnsi="Times New Roman" w:eastAsia="仿宋_GB2312" w:cs="Times New Roman"/>
          <w:b/>
          <w:snapToGrid w:val="0"/>
          <w:kern w:val="0"/>
          <w:sz w:val="28"/>
          <w:szCs w:val="28"/>
          <w:lang w:val="en-US" w:eastAsia="zh-CN"/>
        </w:rPr>
      </w:pPr>
      <w:r>
        <w:rPr>
          <w:rFonts w:hint="eastAsia" w:ascii="仿宋_GB2312" w:hAnsi="Times New Roman" w:eastAsia="仿宋_GB2312" w:cs="Times New Roman"/>
          <w:b/>
          <w:snapToGrid w:val="0"/>
          <w:kern w:val="0"/>
          <w:sz w:val="28"/>
          <w:szCs w:val="28"/>
          <w:lang w:val="en-US" w:eastAsia="zh-CN"/>
        </w:rPr>
        <w:t>估价对象：</w:t>
      </w:r>
      <w:r>
        <w:rPr>
          <w:rFonts w:hint="eastAsia" w:ascii="仿宋_GB2312" w:eastAsia="仿宋_GB2312" w:cs="Times New Roman"/>
          <w:b/>
          <w:snapToGrid w:val="0"/>
          <w:kern w:val="0"/>
          <w:sz w:val="28"/>
          <w:szCs w:val="28"/>
          <w:lang w:val="en-US" w:eastAsia="zh-CN"/>
        </w:rPr>
        <w:t>采用收益法测算</w:t>
      </w:r>
      <w:r>
        <w:rPr>
          <w:rFonts w:hint="eastAsia" w:ascii="仿宋_GB2312" w:hAnsi="Times New Roman" w:eastAsia="仿宋_GB2312" w:cs="Times New Roman"/>
          <w:b/>
          <w:snapToGrid w:val="0"/>
          <w:kern w:val="0"/>
          <w:sz w:val="28"/>
          <w:szCs w:val="28"/>
          <w:lang w:val="en-US" w:eastAsia="zh-CN"/>
        </w:rPr>
        <w:t>揭阳市惠来县惠城镇葵阳对外工业区家用电器厂-</w:t>
      </w:r>
      <w:r>
        <w:rPr>
          <w:rFonts w:hint="eastAsia" w:ascii="仿宋_GB2312" w:eastAsia="仿宋_GB2312" w:cs="Times New Roman"/>
          <w:b/>
          <w:snapToGrid w:val="0"/>
          <w:kern w:val="0"/>
          <w:sz w:val="28"/>
          <w:szCs w:val="28"/>
          <w:lang w:val="en-US" w:eastAsia="zh-CN"/>
        </w:rPr>
        <w:t>南</w:t>
      </w:r>
      <w:r>
        <w:rPr>
          <w:rFonts w:hint="eastAsia" w:ascii="仿宋_GB2312" w:hAnsi="Times New Roman" w:eastAsia="仿宋_GB2312" w:cs="Times New Roman"/>
          <w:b/>
          <w:snapToGrid w:val="0"/>
          <w:kern w:val="0"/>
          <w:sz w:val="28"/>
          <w:szCs w:val="28"/>
          <w:lang w:val="en-US" w:eastAsia="zh-CN"/>
        </w:rPr>
        <w:t>楼</w:t>
      </w:r>
      <w:r>
        <w:rPr>
          <w:rFonts w:hint="eastAsia" w:ascii="宋体" w:hAnsi="宋体" w:eastAsia="宋体" w:cs="宋体"/>
          <w:b/>
          <w:bCs/>
          <w:kern w:val="0"/>
          <w:sz w:val="24"/>
          <w:lang w:val="en-US" w:eastAsia="zh-CN"/>
        </w:rPr>
        <w:t>（建</w:t>
      </w:r>
      <w:r>
        <w:rPr>
          <w:rFonts w:hint="eastAsia" w:ascii="仿宋_GB2312" w:hAnsi="Times New Roman" w:eastAsia="仿宋_GB2312" w:cs="Times New Roman"/>
          <w:b/>
          <w:snapToGrid w:val="0"/>
          <w:kern w:val="0"/>
          <w:sz w:val="28"/>
          <w:szCs w:val="28"/>
          <w:lang w:val="en-US" w:eastAsia="zh-CN"/>
        </w:rPr>
        <w:t>筑面积为</w:t>
      </w:r>
      <w:r>
        <w:rPr>
          <w:rFonts w:hint="eastAsia" w:ascii="仿宋_GB2312" w:eastAsia="仿宋_GB2312" w:cs="Times New Roman"/>
          <w:b/>
          <w:snapToGrid w:val="0"/>
          <w:kern w:val="0"/>
          <w:sz w:val="28"/>
          <w:szCs w:val="28"/>
          <w:lang w:val="en-US" w:eastAsia="zh-CN"/>
        </w:rPr>
        <w:t>1953.7</w:t>
      </w:r>
      <w:r>
        <w:rPr>
          <w:rFonts w:hint="eastAsia" w:ascii="仿宋_GB2312" w:hAnsi="Times New Roman" w:eastAsia="仿宋_GB2312" w:cs="Times New Roman"/>
          <w:b/>
          <w:snapToGrid w:val="0"/>
          <w:kern w:val="0"/>
          <w:sz w:val="28"/>
          <w:szCs w:val="28"/>
          <w:lang w:val="en-US" w:eastAsia="zh-CN"/>
        </w:rPr>
        <w:t>㎡）：</w:t>
      </w:r>
    </w:p>
    <w:p>
      <w:pPr>
        <w:spacing w:line="600" w:lineRule="exact"/>
        <w:ind w:firstLine="674" w:firstLineChars="200"/>
        <w:contextualSpacing/>
        <w:rPr>
          <w:rFonts w:hint="eastAsia"/>
          <w:lang w:val="en-US" w:eastAsia="zh-CN"/>
        </w:rPr>
      </w:pPr>
      <w:r>
        <w:rPr>
          <w:rFonts w:hint="eastAsia" w:ascii="仿宋_GB2312" w:hAnsi="Times New Roman" w:eastAsia="仿宋_GB2312" w:cs="Times New Roman"/>
          <w:b/>
          <w:snapToGrid w:val="0"/>
          <w:kern w:val="0"/>
          <w:sz w:val="28"/>
          <w:szCs w:val="28"/>
          <w:lang w:val="en-US" w:eastAsia="zh-CN"/>
        </w:rPr>
        <w:t>一、收益法：</w:t>
      </w:r>
    </w:p>
    <w:p>
      <w:pPr>
        <w:tabs>
          <w:tab w:val="left" w:pos="0"/>
        </w:tabs>
        <w:adjustRightInd w:val="0"/>
        <w:snapToGrid w:val="0"/>
        <w:spacing w:line="360" w:lineRule="auto"/>
        <w:ind w:firstLine="480"/>
        <w:rPr>
          <w:rFonts w:hint="eastAsia" w:ascii="仿宋_GB2312" w:hAnsi="Times New Roman" w:eastAsia="仿宋_GB2312" w:cs="Times New Roman"/>
          <w:b/>
          <w:bCs/>
          <w:snapToGrid w:val="0"/>
          <w:kern w:val="0"/>
          <w:sz w:val="28"/>
          <w:szCs w:val="28"/>
        </w:rPr>
      </w:pPr>
      <w:r>
        <w:rPr>
          <w:rFonts w:hint="eastAsia" w:ascii="仿宋_GB2312" w:hAnsi="Times New Roman" w:eastAsia="仿宋_GB2312" w:cs="Times New Roman"/>
          <w:b/>
          <w:bCs/>
          <w:snapToGrid w:val="0"/>
          <w:kern w:val="0"/>
          <w:sz w:val="28"/>
          <w:szCs w:val="28"/>
        </w:rPr>
        <w:t>1.计算公式</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收益法的本质是以房地产的预期收益为导向来求取房地产的价值，其理论依据是预期原理，说明决定房地产当前价值的，重要的不是过去的因素而是未来的因素。</w:t>
      </w:r>
    </w:p>
    <w:p>
      <w:pPr>
        <w:autoSpaceDE w:val="0"/>
        <w:autoSpaceDN w:val="0"/>
        <w:ind w:firstLine="445" w:firstLineChars="150"/>
        <w:rPr>
          <w:rFonts w:ascii="宋体" w:hAnsi="宋体"/>
          <w:color w:val="000000"/>
          <w:sz w:val="24"/>
        </w:rPr>
      </w:pPr>
      <w:r>
        <w:rPr>
          <w:rFonts w:hint="eastAsia" w:ascii="宋体" w:hAnsi="宋体"/>
          <w:color w:val="000000"/>
          <w:position w:val="-34"/>
          <w:sz w:val="24"/>
        </w:rPr>
        <w:object>
          <v:shape id="_x0000_i1025" o:spt="75" type="#_x0000_t75" style="height:44.8pt;width:128.75pt;" o:ole="t" filled="f" o:preferrelative="t" stroked="f" coordsize="21600,21600">
            <v:path/>
            <v:fill on="f" focussize="0,0"/>
            <v:stroke on="f"/>
            <v:imagedata r:id="rId15" o:title=""/>
            <o:lock v:ext="edit" aspectratio="t"/>
            <w10:wrap type="none"/>
            <w10:anchorlock/>
          </v:shape>
          <o:OLEObject Type="Embed" ProgID="Equation.3" ShapeID="_x0000_i1025" DrawAspect="Content" ObjectID="_1468075726" r:id="rId14">
            <o:LockedField>false</o:LockedField>
          </o:OLEObject>
        </w:objec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式中：</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V 一收益价值</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A 一房地产未来第一年净收益</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Y 一报酬率</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g 一净收益每年递增率</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n 一收益期</w:t>
      </w:r>
    </w:p>
    <w:p>
      <w:pPr>
        <w:tabs>
          <w:tab w:val="left" w:pos="0"/>
        </w:tabs>
        <w:adjustRightInd w:val="0"/>
        <w:snapToGrid w:val="0"/>
        <w:spacing w:line="360" w:lineRule="auto"/>
        <w:ind w:firstLine="480"/>
        <w:rPr>
          <w:rFonts w:hint="eastAsia" w:ascii="仿宋_GB2312" w:hAnsi="Times New Roman" w:eastAsia="仿宋_GB2312" w:cs="Times New Roman"/>
          <w:b/>
          <w:bCs/>
          <w:snapToGrid w:val="0"/>
          <w:kern w:val="0"/>
          <w:sz w:val="28"/>
          <w:szCs w:val="28"/>
        </w:rPr>
      </w:pPr>
      <w:r>
        <w:rPr>
          <w:rFonts w:hint="eastAsia" w:ascii="仿宋_GB2312" w:hAnsi="Times New Roman" w:eastAsia="仿宋_GB2312" w:cs="Times New Roman"/>
          <w:b/>
          <w:bCs/>
          <w:snapToGrid w:val="0"/>
          <w:kern w:val="0"/>
          <w:sz w:val="28"/>
          <w:szCs w:val="28"/>
        </w:rPr>
        <w:t>2.测算过程</w:t>
      </w:r>
    </w:p>
    <w:p>
      <w:pPr>
        <w:numPr>
          <w:ilvl w:val="0"/>
          <w:numId w:val="2"/>
        </w:numPr>
        <w:tabs>
          <w:tab w:val="left" w:pos="0"/>
          <w:tab w:val="clear" w:pos="312"/>
        </w:tabs>
        <w:adjustRightInd w:val="0"/>
        <w:snapToGrid w:val="0"/>
        <w:spacing w:line="360" w:lineRule="auto"/>
        <w:ind w:firstLine="480"/>
        <w:rPr>
          <w:rFonts w:hint="eastAsia" w:ascii="仿宋_GB2312" w:hAnsi="Times New Roman" w:eastAsia="仿宋_GB2312" w:cs="Times New Roman"/>
          <w:b/>
          <w:bCs/>
          <w:snapToGrid w:val="0"/>
          <w:kern w:val="0"/>
          <w:sz w:val="28"/>
          <w:szCs w:val="28"/>
        </w:rPr>
      </w:pPr>
      <w:r>
        <w:rPr>
          <w:rFonts w:hint="eastAsia" w:ascii="仿宋_GB2312" w:hAnsi="Times New Roman" w:eastAsia="仿宋_GB2312" w:cs="Times New Roman"/>
          <w:b/>
          <w:bCs/>
          <w:snapToGrid w:val="0"/>
          <w:kern w:val="0"/>
          <w:sz w:val="28"/>
          <w:szCs w:val="28"/>
        </w:rPr>
        <w:t>计算有效毛收入</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⑴ 计算净收益</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根据《房地产估价规范》的规定，出租型房地产的净收益为租赁收入扣除维修费、管理费、保险费和税金等费用。</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① 求取租赁收入</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租赁收入包括有效毛租金收入和租赁保证金、押金等的利息收入。</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1. 确定有效毛租金收入</w:t>
      </w:r>
    </w:p>
    <w:p>
      <w:pPr>
        <w:tabs>
          <w:tab w:val="left" w:pos="0"/>
        </w:tabs>
        <w:adjustRightInd w:val="0"/>
        <w:snapToGrid w:val="0"/>
        <w:spacing w:line="480" w:lineRule="exact"/>
        <w:ind w:firstLine="480"/>
        <w:rPr>
          <w:rFonts w:hint="default" w:ascii="仿宋_GB2312" w:hAnsi="Times New Roman" w:eastAsia="仿宋_GB2312" w:cs="Times New Roman"/>
          <w:snapToGrid w:val="0"/>
          <w:kern w:val="0"/>
          <w:sz w:val="28"/>
          <w:szCs w:val="28"/>
          <w:lang w:val="en-US"/>
        </w:rPr>
      </w:pPr>
      <w:r>
        <w:rPr>
          <w:rFonts w:hint="eastAsia" w:ascii="仿宋_GB2312" w:hAnsi="Times New Roman" w:eastAsia="仿宋_GB2312" w:cs="Times New Roman"/>
          <w:snapToGrid w:val="0"/>
          <w:kern w:val="0"/>
          <w:sz w:val="28"/>
          <w:szCs w:val="28"/>
          <w:lang w:eastAsia="zh-CN"/>
        </w:rPr>
        <w:t>根据委托方提供的租赁《协议书》资料，确认</w:t>
      </w:r>
      <w:r>
        <w:rPr>
          <w:rFonts w:hint="eastAsia" w:ascii="仿宋_GB2312" w:hAnsi="Times New Roman" w:eastAsia="仿宋_GB2312" w:cs="Times New Roman"/>
          <w:snapToGrid w:val="0"/>
          <w:kern w:val="0"/>
          <w:sz w:val="28"/>
          <w:szCs w:val="28"/>
        </w:rPr>
        <w:t>估价对象的月租金单价</w:t>
      </w:r>
      <w:r>
        <w:rPr>
          <w:rFonts w:hint="eastAsia" w:ascii="仿宋_GB2312" w:hAnsi="Times New Roman" w:eastAsia="仿宋_GB2312" w:cs="Times New Roman"/>
          <w:snapToGrid w:val="0"/>
          <w:kern w:val="0"/>
          <w:sz w:val="28"/>
          <w:szCs w:val="28"/>
          <w:lang w:val="en-US" w:eastAsia="zh-CN"/>
        </w:rPr>
        <w:t>为6元/㎡。</w:t>
      </w:r>
    </w:p>
    <w:p>
      <w:pPr>
        <w:tabs>
          <w:tab w:val="left" w:pos="0"/>
        </w:tabs>
        <w:adjustRightInd w:val="0"/>
        <w:snapToGrid w:val="0"/>
        <w:spacing w:line="480" w:lineRule="exact"/>
        <w:ind w:firstLine="480"/>
        <w:rPr>
          <w:rFonts w:hint="eastAsia" w:ascii="仿宋_GB2312" w:eastAsia="仿宋_GB2312" w:cs="Times New Roman"/>
          <w:snapToGrid w:val="0"/>
          <w:kern w:val="0"/>
          <w:sz w:val="28"/>
          <w:szCs w:val="28"/>
          <w:lang w:eastAsia="zh-CN"/>
        </w:rPr>
      </w:pPr>
      <w:r>
        <w:rPr>
          <w:rFonts w:hint="eastAsia" w:ascii="仿宋_GB2312" w:eastAsia="仿宋_GB2312"/>
          <w:snapToGrid w:val="0"/>
          <w:kern w:val="0"/>
          <w:sz w:val="28"/>
          <w:szCs w:val="28"/>
        </w:rPr>
        <w:t>租金损失主要是空置率、逾期交纳租金等原因造成,由于该</w:t>
      </w:r>
      <w:r>
        <w:rPr>
          <w:rFonts w:hint="eastAsia" w:ascii="仿宋_GB2312" w:eastAsia="仿宋_GB2312"/>
          <w:snapToGrid w:val="0"/>
          <w:kern w:val="0"/>
          <w:sz w:val="28"/>
          <w:szCs w:val="28"/>
          <w:lang w:eastAsia="zh-CN"/>
        </w:rPr>
        <w:t>估价对象已对外出租，并且租赁期为</w:t>
      </w:r>
      <w:r>
        <w:rPr>
          <w:rFonts w:hint="eastAsia" w:ascii="仿宋_GB2312" w:eastAsia="仿宋_GB2312"/>
          <w:snapToGrid w:val="0"/>
          <w:kern w:val="0"/>
          <w:sz w:val="28"/>
          <w:szCs w:val="28"/>
          <w:lang w:val="en-US" w:eastAsia="zh-CN"/>
        </w:rPr>
        <w:t>20年，于2019年8月1日至2039年7月31日，比</w:t>
      </w:r>
      <w:r>
        <w:rPr>
          <w:rFonts w:hint="eastAsia" w:ascii="仿宋_GB2312" w:hAnsi="Times New Roman" w:eastAsia="仿宋_GB2312" w:cs="Times New Roman"/>
          <w:snapToGrid w:val="0"/>
          <w:kern w:val="0"/>
          <w:sz w:val="28"/>
          <w:szCs w:val="28"/>
        </w:rPr>
        <w:t>收益年期</w:t>
      </w:r>
      <w:r>
        <w:rPr>
          <w:rFonts w:hint="eastAsia" w:ascii="仿宋_GB2312" w:eastAsia="仿宋_GB2312" w:cs="Times New Roman"/>
          <w:snapToGrid w:val="0"/>
          <w:kern w:val="0"/>
          <w:sz w:val="28"/>
          <w:szCs w:val="28"/>
          <w:lang w:eastAsia="zh-CN"/>
        </w:rPr>
        <w:t>更长，因此此次不考虑空置率。</w:t>
      </w:r>
    </w:p>
    <w:p>
      <w:pPr>
        <w:tabs>
          <w:tab w:val="left" w:pos="0"/>
        </w:tabs>
        <w:adjustRightInd w:val="0"/>
        <w:snapToGrid w:val="0"/>
        <w:spacing w:line="480" w:lineRule="exact"/>
        <w:ind w:firstLine="480"/>
        <w:rPr>
          <w:rFonts w:ascii="仿宋_GB2312" w:eastAsia="仿宋_GB2312"/>
          <w:snapToGrid w:val="0"/>
          <w:color w:val="000000"/>
          <w:kern w:val="0"/>
          <w:sz w:val="28"/>
          <w:szCs w:val="28"/>
        </w:rPr>
      </w:pPr>
      <w:r>
        <w:rPr>
          <w:rFonts w:hint="eastAsia" w:ascii="仿宋_GB2312" w:eastAsia="仿宋_GB2312"/>
          <w:snapToGrid w:val="0"/>
          <w:color w:val="000000"/>
          <w:kern w:val="0"/>
          <w:sz w:val="28"/>
          <w:szCs w:val="28"/>
        </w:rPr>
        <w:t>年有效潜在毛收入 =月租金×（1－空置率）×12个月</w:t>
      </w:r>
    </w:p>
    <w:p>
      <w:pPr>
        <w:tabs>
          <w:tab w:val="left" w:pos="0"/>
        </w:tabs>
        <w:adjustRightInd w:val="0"/>
        <w:snapToGrid w:val="0"/>
        <w:spacing w:line="480" w:lineRule="exact"/>
        <w:ind w:firstLine="2793" w:firstLineChars="829"/>
        <w:rPr>
          <w:rFonts w:ascii="宋体" w:hAnsi="宋体" w:cs="宋体"/>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6.00</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·月×（1－</w:t>
      </w:r>
      <w:r>
        <w:rPr>
          <w:rFonts w:hint="eastAsia" w:ascii="仿宋_GB2312" w:eastAsia="仿宋_GB2312"/>
          <w:snapToGrid w:val="0"/>
          <w:kern w:val="0"/>
          <w:sz w:val="28"/>
          <w:szCs w:val="28"/>
          <w:lang w:val="en-US" w:eastAsia="zh-CN"/>
        </w:rPr>
        <w:t>0</w:t>
      </w:r>
      <w:r>
        <w:rPr>
          <w:rFonts w:hint="eastAsia" w:ascii="仿宋_GB2312" w:eastAsia="仿宋_GB2312"/>
          <w:snapToGrid w:val="0"/>
          <w:kern w:val="0"/>
          <w:sz w:val="28"/>
          <w:szCs w:val="28"/>
        </w:rPr>
        <w:t>%）×12个月</w:t>
      </w:r>
    </w:p>
    <w:p>
      <w:pPr>
        <w:tabs>
          <w:tab w:val="left" w:pos="0"/>
        </w:tabs>
        <w:adjustRightInd w:val="0"/>
        <w:snapToGrid w:val="0"/>
        <w:spacing w:line="480" w:lineRule="exact"/>
        <w:ind w:firstLine="2786" w:firstLineChars="827"/>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72</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2. 确定租赁保证金、押金等的利息收入</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按照估价对象所在区域市场的实际情况，保证金、押金一般为两个月的租金，若租期按一年计，则估价对象的保证金、押金利息为：</w:t>
      </w:r>
    </w:p>
    <w:p>
      <w:pPr>
        <w:tabs>
          <w:tab w:val="left" w:pos="0"/>
        </w:tabs>
        <w:adjustRightInd w:val="0"/>
        <w:snapToGrid w:val="0"/>
        <w:spacing w:line="480" w:lineRule="exact"/>
        <w:ind w:firstLine="476"/>
        <w:rPr>
          <w:rFonts w:ascii="仿宋_GB2312" w:eastAsia="仿宋_GB2312"/>
          <w:snapToGrid w:val="0"/>
          <w:kern w:val="0"/>
          <w:sz w:val="28"/>
          <w:szCs w:val="28"/>
        </w:rPr>
      </w:pPr>
      <w:r>
        <w:rPr>
          <w:rFonts w:hint="eastAsia" w:ascii="仿宋_GB2312" w:eastAsia="仿宋_GB2312"/>
          <w:snapToGrid w:val="0"/>
          <w:kern w:val="0"/>
          <w:sz w:val="28"/>
          <w:szCs w:val="28"/>
        </w:rPr>
        <w:t>利息=月租金×押金月数×（1－空置率）×存款利率</w:t>
      </w:r>
    </w:p>
    <w:p>
      <w:pPr>
        <w:tabs>
          <w:tab w:val="left" w:pos="0"/>
        </w:tabs>
        <w:adjustRightInd w:val="0"/>
        <w:snapToGrid w:val="0"/>
        <w:spacing w:line="480" w:lineRule="exact"/>
        <w:ind w:firstLine="2793" w:firstLineChars="829"/>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6</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×2×（1－</w:t>
      </w:r>
      <w:r>
        <w:rPr>
          <w:rFonts w:hint="eastAsia" w:ascii="仿宋_GB2312" w:eastAsia="仿宋_GB2312"/>
          <w:snapToGrid w:val="0"/>
          <w:kern w:val="0"/>
          <w:sz w:val="28"/>
          <w:szCs w:val="28"/>
          <w:lang w:val="en-US" w:eastAsia="zh-CN"/>
        </w:rPr>
        <w:t>2</w:t>
      </w:r>
      <w:r>
        <w:rPr>
          <w:rFonts w:hint="eastAsia" w:ascii="仿宋_GB2312" w:eastAsia="仿宋_GB2312"/>
          <w:snapToGrid w:val="0"/>
          <w:kern w:val="0"/>
          <w:sz w:val="28"/>
          <w:szCs w:val="28"/>
        </w:rPr>
        <w:t>%）×1.5%</w:t>
      </w:r>
    </w:p>
    <w:p>
      <w:pPr>
        <w:tabs>
          <w:tab w:val="left" w:pos="0"/>
        </w:tabs>
        <w:adjustRightInd w:val="0"/>
        <w:snapToGrid w:val="0"/>
        <w:spacing w:line="480" w:lineRule="exact"/>
        <w:ind w:firstLine="2793" w:firstLineChars="829"/>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0.18</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3. 确定估价对象的年租赁收入</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通过上述分析计算，可以确定估价对象的年租赁收入为：</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年租赁收入 =年有效潜在毛收入+保证金、押金利息</w:t>
      </w:r>
    </w:p>
    <w:p>
      <w:pPr>
        <w:tabs>
          <w:tab w:val="left" w:pos="0"/>
        </w:tabs>
        <w:adjustRightInd w:val="0"/>
        <w:snapToGrid w:val="0"/>
        <w:spacing w:line="480" w:lineRule="exact"/>
        <w:ind w:firstLine="1967" w:firstLineChars="584"/>
        <w:rPr>
          <w:rFonts w:hint="eastAsia" w:ascii="仿宋_GB2312" w:eastAsia="仿宋_GB2312"/>
          <w:snapToGrid w:val="0"/>
          <w:kern w:val="0"/>
          <w:sz w:val="28"/>
          <w:szCs w:val="28"/>
          <w:lang w:val="en-US" w:eastAsia="zh-CN"/>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72+0.18</w:t>
      </w:r>
    </w:p>
    <w:p>
      <w:pPr>
        <w:tabs>
          <w:tab w:val="left" w:pos="0"/>
        </w:tabs>
        <w:adjustRightInd w:val="0"/>
        <w:snapToGrid w:val="0"/>
        <w:spacing w:line="480" w:lineRule="exact"/>
        <w:ind w:firstLine="1967" w:firstLineChars="584"/>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72.18</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② 确定维修费、管理费、保险费和税金等费用</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按照《房地产估价规范》的规定，维修费、管理费、保险费和税金等四项费用应参照市场上类似房地产的一般费用水平进行估算，即应采用客观费用作为估价依据。</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ⅰ、维修费</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维修费指为保障房屋正常使用每年需支付的修缮费。</w:t>
      </w:r>
    </w:p>
    <w:p>
      <w:pPr>
        <w:tabs>
          <w:tab w:val="left" w:pos="0"/>
        </w:tabs>
        <w:adjustRightInd w:val="0"/>
        <w:snapToGrid w:val="0"/>
        <w:spacing w:line="480" w:lineRule="exact"/>
        <w:ind w:firstLine="480"/>
        <w:rPr>
          <w:rFonts w:ascii="仿宋_GB2312" w:eastAsia="仿宋_GB2312"/>
          <w:snapToGrid w:val="0"/>
          <w:color w:val="000000"/>
          <w:kern w:val="0"/>
          <w:sz w:val="28"/>
          <w:szCs w:val="28"/>
        </w:rPr>
      </w:pPr>
      <w:r>
        <w:rPr>
          <w:rFonts w:hint="eastAsia" w:ascii="仿宋_GB2312" w:eastAsia="仿宋_GB2312"/>
          <w:snapToGrid w:val="0"/>
          <w:color w:val="000000"/>
          <w:kern w:val="0"/>
          <w:sz w:val="28"/>
          <w:szCs w:val="28"/>
        </w:rPr>
        <w:t>维修费一般按租金收入的一定比例进行计算，根据当地市场情况，结合估价对象的具体状况，确定比例为1%。则：</w:t>
      </w:r>
    </w:p>
    <w:p>
      <w:pPr>
        <w:tabs>
          <w:tab w:val="left" w:pos="0"/>
        </w:tabs>
        <w:adjustRightInd w:val="0"/>
        <w:snapToGrid w:val="0"/>
        <w:spacing w:line="480" w:lineRule="exact"/>
        <w:ind w:firstLine="480"/>
        <w:rPr>
          <w:rFonts w:ascii="仿宋_GB2312" w:eastAsia="仿宋_GB2312"/>
          <w:snapToGrid w:val="0"/>
          <w:color w:val="000000"/>
          <w:kern w:val="0"/>
          <w:sz w:val="28"/>
          <w:szCs w:val="28"/>
        </w:rPr>
      </w:pPr>
      <w:r>
        <w:rPr>
          <w:rFonts w:hint="eastAsia" w:ascii="仿宋_GB2312" w:eastAsia="仿宋_GB2312"/>
          <w:snapToGrid w:val="0"/>
          <w:color w:val="000000"/>
          <w:kern w:val="0"/>
          <w:sz w:val="28"/>
          <w:szCs w:val="28"/>
        </w:rPr>
        <w:t>年维修费 =房地出租年租金收益×1%</w:t>
      </w:r>
    </w:p>
    <w:p>
      <w:pPr>
        <w:tabs>
          <w:tab w:val="left" w:pos="0"/>
        </w:tabs>
        <w:adjustRightInd w:val="0"/>
        <w:snapToGrid w:val="0"/>
        <w:spacing w:line="480" w:lineRule="exact"/>
        <w:ind w:firstLine="1771" w:firstLineChars="526"/>
        <w:rPr>
          <w:rFonts w:ascii="仿宋_GB2312" w:eastAsia="仿宋_GB2312"/>
          <w:snapToGrid w:val="0"/>
          <w:color w:val="000000"/>
          <w:kern w:val="0"/>
          <w:sz w:val="28"/>
          <w:szCs w:val="28"/>
        </w:rPr>
      </w:pPr>
      <w:r>
        <w:rPr>
          <w:rFonts w:hint="eastAsia" w:ascii="仿宋_GB2312" w:eastAsia="仿宋_GB2312"/>
          <w:snapToGrid w:val="0"/>
          <w:color w:val="000000"/>
          <w:kern w:val="0"/>
          <w:sz w:val="28"/>
          <w:szCs w:val="28"/>
        </w:rPr>
        <w:t>=</w:t>
      </w:r>
      <w:r>
        <w:rPr>
          <w:rFonts w:hint="eastAsia" w:ascii="仿宋_GB2312" w:eastAsia="仿宋_GB2312"/>
          <w:snapToGrid w:val="0"/>
          <w:kern w:val="0"/>
          <w:sz w:val="28"/>
          <w:szCs w:val="28"/>
          <w:lang w:val="en-US" w:eastAsia="zh-CN"/>
        </w:rPr>
        <w:t>72</w:t>
      </w:r>
      <w:r>
        <w:rPr>
          <w:rFonts w:hint="eastAsia" w:ascii="仿宋_GB2312" w:eastAsia="仿宋_GB2312"/>
          <w:snapToGrid w:val="0"/>
          <w:color w:val="000000"/>
          <w:kern w:val="0"/>
          <w:sz w:val="28"/>
          <w:szCs w:val="28"/>
        </w:rPr>
        <w:t>×1%</w:t>
      </w:r>
    </w:p>
    <w:p>
      <w:pPr>
        <w:tabs>
          <w:tab w:val="left" w:pos="0"/>
        </w:tabs>
        <w:adjustRightInd w:val="0"/>
        <w:snapToGrid w:val="0"/>
        <w:spacing w:line="480" w:lineRule="exact"/>
        <w:ind w:firstLine="1771" w:firstLineChars="526"/>
        <w:rPr>
          <w:rFonts w:ascii="仿宋_GB2312" w:eastAsia="仿宋_GB2312"/>
          <w:snapToGrid w:val="0"/>
          <w:color w:val="000000"/>
          <w:kern w:val="0"/>
          <w:sz w:val="28"/>
          <w:szCs w:val="28"/>
        </w:rPr>
      </w:pPr>
      <w:r>
        <w:rPr>
          <w:rFonts w:hint="eastAsia" w:ascii="仿宋_GB2312" w:eastAsia="仿宋_GB2312"/>
          <w:snapToGrid w:val="0"/>
          <w:color w:val="000000"/>
          <w:kern w:val="0"/>
          <w:sz w:val="28"/>
          <w:szCs w:val="28"/>
        </w:rPr>
        <w:t>=</w:t>
      </w:r>
      <w:r>
        <w:rPr>
          <w:rFonts w:hint="eastAsia" w:ascii="仿宋_GB2312" w:eastAsia="仿宋_GB2312"/>
          <w:snapToGrid w:val="0"/>
          <w:color w:val="000000"/>
          <w:kern w:val="0"/>
          <w:sz w:val="28"/>
          <w:szCs w:val="28"/>
          <w:lang w:val="en-US" w:eastAsia="zh-CN"/>
        </w:rPr>
        <w:t>0.72</w:t>
      </w:r>
      <w:r>
        <w:rPr>
          <w:rFonts w:hint="eastAsia" w:ascii="仿宋_GB2312" w:eastAsia="仿宋_GB2312"/>
          <w:snapToGrid w:val="0"/>
          <w:color w:val="000000"/>
          <w:kern w:val="0"/>
          <w:sz w:val="28"/>
          <w:szCs w:val="28"/>
        </w:rPr>
        <w:t>（元</w:t>
      </w:r>
      <w:r>
        <w:rPr>
          <w:rFonts w:hint="eastAsia" w:ascii="仿宋_GB2312" w:eastAsia="仿宋_GB2312"/>
          <w:snapToGrid w:val="0"/>
          <w:kern w:val="0"/>
          <w:sz w:val="28"/>
          <w:szCs w:val="28"/>
        </w:rPr>
        <w:t>/</w:t>
      </w:r>
      <w:r>
        <w:rPr>
          <w:rFonts w:hint="eastAsia" w:ascii="宋体" w:hAnsi="宋体" w:cs="宋体"/>
          <w:snapToGrid w:val="0"/>
          <w:kern w:val="0"/>
          <w:sz w:val="28"/>
          <w:szCs w:val="28"/>
        </w:rPr>
        <w:t>㎡</w:t>
      </w:r>
      <w:r>
        <w:rPr>
          <w:rFonts w:hint="eastAsia" w:ascii="仿宋_GB2312" w:eastAsia="仿宋_GB2312"/>
          <w:snapToGrid w:val="0"/>
          <w:color w:val="00000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2.年管理费：管理费是指对出租房屋进行必要管理所需的费用，分为两部分：一是出租经营过程中消耗品价值的货币支出；另一是管理人员的工资支出，一般取有效毛收入的1%-5%。根据估价师实地勘察和对市场现状的分析，本次估价测算过程中的管理费取房地产出租年租金收入的</w:t>
      </w:r>
      <w:r>
        <w:rPr>
          <w:rFonts w:hint="eastAsia" w:ascii="仿宋_GB2312" w:eastAsia="仿宋_GB2312"/>
          <w:snapToGrid w:val="0"/>
          <w:kern w:val="0"/>
          <w:sz w:val="28"/>
          <w:szCs w:val="28"/>
          <w:lang w:val="en-US" w:eastAsia="zh-CN"/>
        </w:rPr>
        <w:t>1</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年管理费 =房地出租年租金收入×管理费比率</w:t>
      </w:r>
    </w:p>
    <w:p>
      <w:pPr>
        <w:tabs>
          <w:tab w:val="left" w:pos="0"/>
        </w:tabs>
        <w:adjustRightInd w:val="0"/>
        <w:snapToGrid w:val="0"/>
        <w:spacing w:line="480" w:lineRule="exact"/>
        <w:ind w:firstLine="1802" w:firstLineChars="535"/>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72</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1</w:t>
      </w:r>
      <w:r>
        <w:rPr>
          <w:rFonts w:hint="eastAsia" w:ascii="仿宋_GB2312" w:eastAsia="仿宋_GB2312"/>
          <w:snapToGrid w:val="0"/>
          <w:kern w:val="0"/>
          <w:sz w:val="28"/>
          <w:szCs w:val="28"/>
        </w:rPr>
        <w:t>%</w:t>
      </w:r>
    </w:p>
    <w:p>
      <w:pPr>
        <w:tabs>
          <w:tab w:val="left" w:pos="0"/>
        </w:tabs>
        <w:adjustRightInd w:val="0"/>
        <w:snapToGrid w:val="0"/>
        <w:spacing w:line="480" w:lineRule="exact"/>
        <w:ind w:firstLine="1802" w:firstLineChars="535"/>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0.72</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3.保险费：保险费是指房屋所有权人为使自己的房产避免意外损失而向保险公司支付的费用。根据保险公司的有关规定及估价人员根据估价对象实际状况的判断，本次评估保险费率取房地产出租年租金收入的0.5%。</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年保险费=房地出租年租金收入×保险费比率</w:t>
      </w:r>
    </w:p>
    <w:p>
      <w:pPr>
        <w:tabs>
          <w:tab w:val="left" w:pos="0"/>
        </w:tabs>
        <w:adjustRightInd w:val="0"/>
        <w:snapToGrid w:val="0"/>
        <w:spacing w:line="480" w:lineRule="exact"/>
        <w:ind w:firstLine="1771" w:firstLineChars="526"/>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w:t>
      </w:r>
      <w:r>
        <w:rPr>
          <w:rFonts w:hint="eastAsia" w:ascii="仿宋_GB2312" w:eastAsia="仿宋_GB2312" w:cs="Times New Roman"/>
          <w:snapToGrid w:val="0"/>
          <w:kern w:val="0"/>
          <w:sz w:val="28"/>
          <w:szCs w:val="28"/>
          <w:lang w:val="en-US" w:eastAsia="zh-CN"/>
        </w:rPr>
        <w:t>72</w:t>
      </w:r>
      <w:r>
        <w:rPr>
          <w:rFonts w:hint="eastAsia" w:ascii="仿宋_GB2312" w:hAnsi="Times New Roman" w:eastAsia="仿宋_GB2312" w:cs="Times New Roman"/>
          <w:snapToGrid w:val="0"/>
          <w:kern w:val="0"/>
          <w:sz w:val="28"/>
          <w:szCs w:val="28"/>
        </w:rPr>
        <w:t>×0.5%</w:t>
      </w:r>
    </w:p>
    <w:p>
      <w:pPr>
        <w:tabs>
          <w:tab w:val="left" w:pos="0"/>
        </w:tabs>
        <w:adjustRightInd w:val="0"/>
        <w:snapToGrid w:val="0"/>
        <w:spacing w:line="480" w:lineRule="exact"/>
        <w:ind w:firstLine="1771" w:firstLineChars="526"/>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w:t>
      </w:r>
      <w:r>
        <w:rPr>
          <w:rFonts w:hint="eastAsia" w:ascii="仿宋_GB2312" w:eastAsia="仿宋_GB2312" w:cs="Times New Roman"/>
          <w:snapToGrid w:val="0"/>
          <w:kern w:val="0"/>
          <w:sz w:val="28"/>
          <w:szCs w:val="28"/>
          <w:lang w:val="en-US" w:eastAsia="zh-CN"/>
        </w:rPr>
        <w:t>0.36</w:t>
      </w:r>
      <w:r>
        <w:rPr>
          <w:rFonts w:hint="eastAsia" w:ascii="仿宋_GB2312" w:hAnsi="Times New Roman" w:eastAsia="仿宋_GB2312" w:cs="Times New Roman"/>
          <w:snapToGrid w:val="0"/>
          <w:kern w:val="0"/>
          <w:sz w:val="28"/>
          <w:szCs w:val="28"/>
        </w:rPr>
        <w:t>(元/㎡)</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4、相关税金</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A、房产税</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房产税：指房产所有人按有关规定向税务机关缴纳房产税费，依据《中华人民共和国房产税暂行条例》、《广东省房产税暂行条例实施细则》，自用的房地产房产税以房产原值一次减除10%-30%后的余值为计税依据，税率按1.2%缴纳；依照房产租金收入计算缴纳的，税率为12％。根据估价对象所在地的税务部门了解以及估价师掌握的资料，房产税以房屋年租金的12%除以（1+增值税率）计。</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年房产税 =房屋年租金×12%÷（1+增值税率）</w:t>
      </w:r>
    </w:p>
    <w:p>
      <w:pPr>
        <w:tabs>
          <w:tab w:val="left" w:pos="0"/>
        </w:tabs>
        <w:adjustRightInd w:val="0"/>
        <w:snapToGrid w:val="0"/>
        <w:spacing w:line="480" w:lineRule="exact"/>
        <w:ind w:firstLine="1771" w:firstLineChars="5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72</w:t>
      </w:r>
      <w:r>
        <w:rPr>
          <w:rFonts w:hint="eastAsia" w:ascii="仿宋_GB2312" w:eastAsia="仿宋_GB2312"/>
          <w:snapToGrid w:val="0"/>
          <w:kern w:val="0"/>
          <w:sz w:val="28"/>
          <w:szCs w:val="28"/>
        </w:rPr>
        <w:t>元×12%÷（1+5%）</w:t>
      </w:r>
    </w:p>
    <w:p>
      <w:pPr>
        <w:tabs>
          <w:tab w:val="left" w:pos="0"/>
        </w:tabs>
        <w:adjustRightInd w:val="0"/>
        <w:snapToGrid w:val="0"/>
        <w:spacing w:line="480" w:lineRule="exact"/>
        <w:ind w:firstLine="1771" w:firstLineChars="5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8.23</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B、增值税及其他：</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自2016年5月1日起在全国范围内全面推开营业税改征增值税（以下简称“营改增”），现行房地产业等纳税人由原来缴纳营业税改为缴纳增值税，涉及税制转换和政策调整，较为复杂。出租2016年4月30前取得的不动产，可选择简易计税方法计税或一般计税方法计税。出租2016年5月1日后不动产，适用一般计税方法计税，本次估价采用简单计算方法。</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a、年增值税 =年有效潜在毛收入×5%÷（1+5%）</w:t>
      </w:r>
    </w:p>
    <w:p>
      <w:pPr>
        <w:tabs>
          <w:tab w:val="left" w:pos="0"/>
        </w:tabs>
        <w:adjustRightInd w:val="0"/>
        <w:snapToGrid w:val="0"/>
        <w:spacing w:line="480" w:lineRule="exact"/>
        <w:ind w:firstLine="2108" w:firstLineChars="6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72</w:t>
      </w:r>
      <w:r>
        <w:rPr>
          <w:rFonts w:hint="eastAsia" w:ascii="仿宋_GB2312" w:eastAsia="仿宋_GB2312"/>
          <w:snapToGrid w:val="0"/>
          <w:kern w:val="0"/>
          <w:sz w:val="28"/>
          <w:szCs w:val="28"/>
        </w:rPr>
        <w:t>元×5%÷（1+5%）</w:t>
      </w:r>
    </w:p>
    <w:p>
      <w:pPr>
        <w:tabs>
          <w:tab w:val="left" w:pos="0"/>
        </w:tabs>
        <w:adjustRightInd w:val="0"/>
        <w:snapToGrid w:val="0"/>
        <w:spacing w:line="480" w:lineRule="exact"/>
        <w:ind w:firstLine="2108" w:firstLineChars="6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3.43</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b、城市维护建设税税率如下：</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（一）纳税人所在地在市区的，税率为百分之七；</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（二）纳税人所在地在县城、镇的，税率为百分之五；</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（三）纳税人所在地不在市区、县城或者镇的，税率为百分之一。</w:t>
      </w:r>
    </w:p>
    <w:p>
      <w:pPr>
        <w:tabs>
          <w:tab w:val="left" w:pos="0"/>
        </w:tabs>
        <w:adjustRightInd w:val="0"/>
        <w:snapToGrid w:val="0"/>
        <w:spacing w:line="480" w:lineRule="exact"/>
        <w:ind w:firstLine="480"/>
        <w:rPr>
          <w:rFonts w:hint="eastAsia" w:ascii="仿宋_GB2312" w:eastAsia="仿宋_GB2312"/>
          <w:snapToGrid w:val="0"/>
          <w:kern w:val="0"/>
          <w:sz w:val="28"/>
          <w:szCs w:val="28"/>
          <w:lang w:eastAsia="zh-CN"/>
        </w:rPr>
      </w:pPr>
      <w:r>
        <w:rPr>
          <w:rFonts w:hint="eastAsia" w:ascii="仿宋_GB2312" w:eastAsia="仿宋_GB2312"/>
          <w:snapToGrid w:val="0"/>
          <w:kern w:val="0"/>
          <w:sz w:val="28"/>
          <w:szCs w:val="28"/>
          <w:lang w:eastAsia="zh-CN"/>
        </w:rPr>
        <w:t>估价对象所在地在于惠来县，因此</w:t>
      </w:r>
      <w:r>
        <w:rPr>
          <w:rFonts w:hint="eastAsia" w:ascii="仿宋_GB2312" w:hAnsi="Times New Roman" w:eastAsia="仿宋_GB2312" w:cs="Times New Roman"/>
          <w:snapToGrid w:val="0"/>
          <w:kern w:val="0"/>
          <w:sz w:val="28"/>
          <w:szCs w:val="28"/>
        </w:rPr>
        <w:t>税率为百分之五</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年城建维护税 =年增值税×</w:t>
      </w:r>
      <w:r>
        <w:rPr>
          <w:rFonts w:hint="eastAsia" w:ascii="仿宋_GB2312" w:eastAsia="仿宋_GB2312"/>
          <w:snapToGrid w:val="0"/>
          <w:kern w:val="0"/>
          <w:sz w:val="28"/>
          <w:szCs w:val="28"/>
          <w:lang w:val="en-US" w:eastAsia="zh-CN"/>
        </w:rPr>
        <w:t>5</w:t>
      </w:r>
      <w:r>
        <w:rPr>
          <w:rFonts w:hint="eastAsia" w:ascii="仿宋_GB2312" w:eastAsia="仿宋_GB2312"/>
          <w:snapToGrid w:val="0"/>
          <w:kern w:val="0"/>
          <w:sz w:val="28"/>
          <w:szCs w:val="28"/>
        </w:rPr>
        <w:t>%</w:t>
      </w:r>
    </w:p>
    <w:p>
      <w:pPr>
        <w:tabs>
          <w:tab w:val="left" w:pos="0"/>
        </w:tabs>
        <w:adjustRightInd w:val="0"/>
        <w:snapToGrid w:val="0"/>
        <w:spacing w:line="480" w:lineRule="exact"/>
        <w:ind w:firstLine="2445" w:firstLineChars="7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3.43</w:t>
      </w:r>
      <w:r>
        <w:rPr>
          <w:rFonts w:hint="eastAsia" w:ascii="仿宋_GB2312" w:eastAsia="仿宋_GB2312"/>
          <w:snapToGrid w:val="0"/>
          <w:kern w:val="0"/>
          <w:sz w:val="28"/>
          <w:szCs w:val="28"/>
        </w:rPr>
        <w:t>元×</w:t>
      </w:r>
      <w:r>
        <w:rPr>
          <w:rFonts w:hint="eastAsia" w:ascii="仿宋_GB2312" w:eastAsia="仿宋_GB2312"/>
          <w:snapToGrid w:val="0"/>
          <w:kern w:val="0"/>
          <w:sz w:val="28"/>
          <w:szCs w:val="28"/>
          <w:lang w:val="en-US" w:eastAsia="zh-CN"/>
        </w:rPr>
        <w:t>5</w:t>
      </w:r>
      <w:r>
        <w:rPr>
          <w:rFonts w:hint="eastAsia" w:ascii="仿宋_GB2312" w:eastAsia="仿宋_GB2312"/>
          <w:snapToGrid w:val="0"/>
          <w:kern w:val="0"/>
          <w:sz w:val="28"/>
          <w:szCs w:val="28"/>
        </w:rPr>
        <w:t>%</w:t>
      </w:r>
    </w:p>
    <w:p>
      <w:pPr>
        <w:tabs>
          <w:tab w:val="left" w:pos="0"/>
        </w:tabs>
        <w:adjustRightInd w:val="0"/>
        <w:snapToGrid w:val="0"/>
        <w:spacing w:line="480" w:lineRule="exact"/>
        <w:ind w:firstLine="2445" w:firstLineChars="7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0.17</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c、教育附加 =年增值税×5%</w:t>
      </w:r>
    </w:p>
    <w:p>
      <w:pPr>
        <w:tabs>
          <w:tab w:val="left" w:pos="0"/>
        </w:tabs>
        <w:adjustRightInd w:val="0"/>
        <w:snapToGrid w:val="0"/>
        <w:spacing w:line="480" w:lineRule="exact"/>
        <w:ind w:firstLine="2108" w:firstLineChars="6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3.43</w:t>
      </w:r>
      <w:r>
        <w:rPr>
          <w:rFonts w:hint="eastAsia" w:ascii="仿宋_GB2312" w:eastAsia="仿宋_GB2312"/>
          <w:snapToGrid w:val="0"/>
          <w:kern w:val="0"/>
          <w:sz w:val="28"/>
          <w:szCs w:val="28"/>
        </w:rPr>
        <w:t>元×5%</w:t>
      </w:r>
    </w:p>
    <w:p>
      <w:pPr>
        <w:tabs>
          <w:tab w:val="left" w:pos="0"/>
        </w:tabs>
        <w:adjustRightInd w:val="0"/>
        <w:snapToGrid w:val="0"/>
        <w:spacing w:line="480" w:lineRule="exact"/>
        <w:ind w:firstLine="2108" w:firstLineChars="6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0</w:t>
      </w:r>
      <w:r>
        <w:rPr>
          <w:rFonts w:hint="eastAsia" w:ascii="仿宋_GB2312" w:eastAsia="仿宋_GB2312"/>
          <w:snapToGrid w:val="0"/>
          <w:kern w:val="0"/>
          <w:sz w:val="28"/>
          <w:szCs w:val="28"/>
          <w:lang w:val="en-US" w:eastAsia="zh-CN"/>
        </w:rPr>
        <w:t>.17</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 xml:space="preserve">   C、确定相关税金</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 xml:space="preserve">      相关税金=房产税+年增值税+年城建维护税+教育附加</w:t>
      </w:r>
    </w:p>
    <w:p>
      <w:pPr>
        <w:tabs>
          <w:tab w:val="left" w:pos="0"/>
        </w:tabs>
        <w:adjustRightInd w:val="0"/>
        <w:snapToGrid w:val="0"/>
        <w:spacing w:line="480" w:lineRule="exact"/>
        <w:ind w:firstLine="480"/>
        <w:rPr>
          <w:rFonts w:hint="eastAsia" w:ascii="仿宋_GB2312" w:eastAsia="仿宋_GB2312"/>
          <w:snapToGrid w:val="0"/>
          <w:kern w:val="0"/>
          <w:sz w:val="28"/>
          <w:szCs w:val="28"/>
          <w:lang w:val="en-US" w:eastAsia="zh-CN"/>
        </w:rPr>
      </w:pPr>
      <w:r>
        <w:rPr>
          <w:rFonts w:hint="eastAsia" w:ascii="仿宋_GB2312" w:eastAsia="仿宋_GB2312"/>
          <w:snapToGrid w:val="0"/>
          <w:kern w:val="0"/>
          <w:sz w:val="28"/>
          <w:szCs w:val="28"/>
        </w:rPr>
        <w:t xml:space="preserve">              =</w:t>
      </w:r>
      <w:r>
        <w:rPr>
          <w:rFonts w:hint="eastAsia" w:ascii="仿宋_GB2312" w:eastAsia="仿宋_GB2312"/>
          <w:snapToGrid w:val="0"/>
          <w:kern w:val="0"/>
          <w:sz w:val="28"/>
          <w:szCs w:val="28"/>
          <w:lang w:val="en-US" w:eastAsia="zh-CN"/>
        </w:rPr>
        <w:t>8.23+3.43+0.17+0.17</w:t>
      </w:r>
      <w:r>
        <w:rPr>
          <w:rFonts w:hint="eastAsia" w:ascii="仿宋_GB2312" w:eastAsia="仿宋_GB2312"/>
          <w:snapToGrid w:val="0"/>
          <w:kern w:val="0"/>
          <w:sz w:val="28"/>
          <w:szCs w:val="28"/>
          <w:lang w:eastAsia="zh-CN"/>
        </w:rPr>
        <w:t xml:space="preserve"> </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 xml:space="preserve">              =</w:t>
      </w:r>
      <w:r>
        <w:rPr>
          <w:rFonts w:hint="eastAsia" w:ascii="仿宋_GB2312" w:eastAsia="仿宋_GB2312"/>
          <w:snapToGrid w:val="0"/>
          <w:kern w:val="0"/>
          <w:sz w:val="28"/>
          <w:szCs w:val="28"/>
          <w:lang w:val="en-US" w:eastAsia="zh-CN"/>
        </w:rPr>
        <w:t>12</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（个位取整）</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5、确定年出租总税费</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 xml:space="preserve">年出租总税费=年维修费+年管理费+年保险费+相关税金 </w:t>
      </w:r>
    </w:p>
    <w:p>
      <w:pPr>
        <w:tabs>
          <w:tab w:val="left" w:pos="0"/>
        </w:tabs>
        <w:adjustRightInd w:val="0"/>
        <w:snapToGrid w:val="0"/>
        <w:spacing w:line="480" w:lineRule="exact"/>
        <w:ind w:firstLine="2108" w:firstLineChars="626"/>
        <w:rPr>
          <w:rFonts w:hint="default" w:ascii="仿宋_GB2312" w:eastAsia="仿宋_GB2312"/>
          <w:snapToGrid w:val="0"/>
          <w:kern w:val="0"/>
          <w:sz w:val="28"/>
          <w:szCs w:val="28"/>
          <w:lang w:val="en-US" w:eastAsia="zh-CN"/>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0.72</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0.72</w:t>
      </w:r>
      <w:r>
        <w:rPr>
          <w:rFonts w:ascii="仿宋_GB2312" w:eastAsia="仿宋_GB2312"/>
          <w:snapToGrid w:val="0"/>
          <w:kern w:val="0"/>
          <w:sz w:val="28"/>
          <w:szCs w:val="28"/>
        </w:rPr>
        <w:t>+</w:t>
      </w:r>
      <w:r>
        <w:rPr>
          <w:rFonts w:hint="eastAsia" w:ascii="仿宋_GB2312" w:eastAsia="仿宋_GB2312"/>
          <w:snapToGrid w:val="0"/>
          <w:kern w:val="0"/>
          <w:sz w:val="28"/>
          <w:szCs w:val="28"/>
          <w:lang w:val="en-US" w:eastAsia="zh-CN"/>
        </w:rPr>
        <w:t xml:space="preserve">0.36+12 </w:t>
      </w:r>
    </w:p>
    <w:p>
      <w:pPr>
        <w:tabs>
          <w:tab w:val="left" w:pos="0"/>
        </w:tabs>
        <w:adjustRightInd w:val="0"/>
        <w:snapToGrid w:val="0"/>
        <w:spacing w:line="480" w:lineRule="exact"/>
        <w:ind w:firstLine="2108" w:firstLineChars="6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13.8</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6.确定估价对象的净收益</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通过上述分析计算，已分别确定了估价对象的租赁收入和维修费、管理费、保险费和税金等费用，因而可计算其净收益。</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年净收益=年租赁收入－年出租总税费</w:t>
      </w:r>
    </w:p>
    <w:p>
      <w:pPr>
        <w:tabs>
          <w:tab w:val="left" w:pos="0"/>
        </w:tabs>
        <w:adjustRightInd w:val="0"/>
        <w:snapToGrid w:val="0"/>
        <w:spacing w:line="480" w:lineRule="exact"/>
        <w:ind w:firstLine="1685" w:firstLineChars="500"/>
        <w:rPr>
          <w:rFonts w:hint="default" w:ascii="仿宋_GB2312" w:eastAsia="仿宋_GB2312"/>
          <w:snapToGrid w:val="0"/>
          <w:kern w:val="0"/>
          <w:sz w:val="28"/>
          <w:szCs w:val="28"/>
          <w:lang w:val="en-US" w:eastAsia="zh-CN"/>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72.18</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 xml:space="preserve">13.8 </w:t>
      </w:r>
    </w:p>
    <w:p>
      <w:pPr>
        <w:tabs>
          <w:tab w:val="left" w:pos="0"/>
        </w:tabs>
        <w:adjustRightInd w:val="0"/>
        <w:snapToGrid w:val="0"/>
        <w:spacing w:line="480" w:lineRule="exact"/>
        <w:ind w:firstLine="1771" w:firstLineChars="526"/>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 xml:space="preserve">58.38 </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（2） 确定资本化率（折现率）</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本次估价根据当地房地产市场同类房地产项目的平均收益率，采用累加法确定。</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累加法是将折现率视为包含无风险报酬率和风险报酬率两大部分，然后分别求出每一部分，再将它们相加得到折现率的方法。</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无风险报酬率也成安全利率，是无风险投资的报酬率，是资金的机会成本。风险报酬率是指承担额外的风险所要求的补偿，即超过无风险报酬率以上部分的 报酬率，具体是对是对估价对象自身及其所在的区域、行业、市场等所存在的风险补偿。</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累加法的细化公式为：</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折现率=无风险报酬率+投资风险补偿率+管理负担补偿率+缺乏流动性补偿率-易于获得融资的优惠率-投资带来的优惠率</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其中，</w:t>
      </w: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1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①</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投资风险报酬率，是指当投资者投资于收益不确定、具有一定风险的房地产时，他必然会要求对所承担的额外风险有所补偿，否则就不会投资。</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2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②</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管理负担补偿率，是指意向投资所要求的操劳越多，其吸引力就越小，从而投资者必然会要求对所承担的额外管理有所补偿，房地产要求的管理工作一边高于存款、证劵</w:t>
      </w:r>
      <w:r>
        <w:rPr>
          <w:rFonts w:hint="eastAsia" w:ascii="仿宋_GB2312" w:hAnsi="仿宋_GB2312" w:eastAsia="仿宋_GB2312" w:cs="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3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③</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缺乏流动性补偿率，是指投资者对所投入的资金由于缺乏流动性所要求的补偿。房地产与存款、股票、债券、黄金相比，买卖要困难，变现能力弱。</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4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④</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投资带来的优惠率，是指由于投资房地产可能获得某些额外的好处，例如易于获得融资（如可以抵押贷款），从而投资者会降低所要求的报酬率。因此，针对投资估价对象可以获得额外的好处，投资者之间竞争的结果也会要求作相应的扣减。而各种补偿率和优惠率又受以下因素影响，各个因素和影响分值如下表A所示：</w:t>
      </w:r>
    </w:p>
    <w:tbl>
      <w:tblPr>
        <w:tblStyle w:val="45"/>
        <w:tblW w:w="4996" w:type="pct"/>
        <w:tblInd w:w="0" w:type="dxa"/>
        <w:tblLayout w:type="fixed"/>
        <w:tblCellMar>
          <w:top w:w="0" w:type="dxa"/>
          <w:left w:w="108" w:type="dxa"/>
          <w:bottom w:w="0" w:type="dxa"/>
          <w:right w:w="108" w:type="dxa"/>
        </w:tblCellMar>
      </w:tblPr>
      <w:tblGrid>
        <w:gridCol w:w="394"/>
        <w:gridCol w:w="717"/>
        <w:gridCol w:w="890"/>
        <w:gridCol w:w="641"/>
        <w:gridCol w:w="1440"/>
        <w:gridCol w:w="914"/>
        <w:gridCol w:w="516"/>
        <w:gridCol w:w="394"/>
        <w:gridCol w:w="516"/>
        <w:gridCol w:w="394"/>
        <w:gridCol w:w="516"/>
        <w:gridCol w:w="394"/>
        <w:gridCol w:w="516"/>
        <w:gridCol w:w="394"/>
        <w:gridCol w:w="516"/>
        <w:gridCol w:w="394"/>
        <w:gridCol w:w="409"/>
      </w:tblGrid>
      <w:tr>
        <w:tblPrEx>
          <w:tblCellMar>
            <w:top w:w="0" w:type="dxa"/>
            <w:left w:w="108" w:type="dxa"/>
            <w:bottom w:w="0" w:type="dxa"/>
            <w:right w:w="108" w:type="dxa"/>
          </w:tblCellMar>
        </w:tblPrEx>
        <w:trPr>
          <w:trHeight w:val="400" w:hRule="atLeast"/>
        </w:trPr>
        <w:tc>
          <w:tcPr>
            <w:tcW w:w="198"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序号</w:t>
            </w:r>
          </w:p>
        </w:tc>
        <w:tc>
          <w:tcPr>
            <w:tcW w:w="359"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名称</w:t>
            </w:r>
          </w:p>
        </w:tc>
        <w:tc>
          <w:tcPr>
            <w:tcW w:w="769" w:type="pct"/>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取值范围</w:t>
            </w:r>
          </w:p>
        </w:tc>
        <w:tc>
          <w:tcPr>
            <w:tcW w:w="723"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影响因素</w:t>
            </w:r>
          </w:p>
        </w:tc>
        <w:tc>
          <w:tcPr>
            <w:tcW w:w="459"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所占比例</w:t>
            </w:r>
          </w:p>
        </w:tc>
        <w:tc>
          <w:tcPr>
            <w:tcW w:w="2488" w:type="pct"/>
            <w:gridSpan w:val="11"/>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取值范围</w:t>
            </w:r>
          </w:p>
        </w:tc>
      </w:tr>
      <w:tr>
        <w:tblPrEx>
          <w:tblCellMar>
            <w:top w:w="0" w:type="dxa"/>
            <w:left w:w="108" w:type="dxa"/>
            <w:bottom w:w="0" w:type="dxa"/>
            <w:right w:w="108" w:type="dxa"/>
          </w:tblCellMar>
        </w:tblPrEx>
        <w:trPr>
          <w:trHeight w:val="400" w:hRule="atLeast"/>
        </w:trPr>
        <w:tc>
          <w:tcPr>
            <w:tcW w:w="19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359"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769" w:type="pct"/>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72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59"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高</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中高</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中</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中低</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低</w:t>
            </w:r>
          </w:p>
        </w:tc>
        <w:tc>
          <w:tcPr>
            <w:tcW w:w="1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取值</w:t>
            </w:r>
          </w:p>
        </w:tc>
      </w:tr>
      <w:tr>
        <w:tblPrEx>
          <w:tblCellMar>
            <w:top w:w="0" w:type="dxa"/>
            <w:left w:w="108" w:type="dxa"/>
            <w:bottom w:w="0" w:type="dxa"/>
            <w:right w:w="108" w:type="dxa"/>
          </w:tblCellMar>
        </w:tblPrEx>
        <w:trPr>
          <w:trHeight w:val="400" w:hRule="atLeast"/>
        </w:trPr>
        <w:tc>
          <w:tcPr>
            <w:tcW w:w="1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无风险报酬率</w:t>
            </w:r>
          </w:p>
        </w:tc>
        <w:tc>
          <w:tcPr>
            <w:tcW w:w="44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1.50%</w:t>
            </w:r>
          </w:p>
        </w:tc>
        <w:tc>
          <w:tcPr>
            <w:tcW w:w="32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1.50%</w:t>
            </w:r>
          </w:p>
        </w:tc>
        <w:tc>
          <w:tcPr>
            <w:tcW w:w="3672" w:type="pct"/>
            <w:gridSpan w:val="13"/>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r>
      <w:tr>
        <w:tblPrEx>
          <w:tblCellMar>
            <w:top w:w="0" w:type="dxa"/>
            <w:left w:w="108" w:type="dxa"/>
            <w:bottom w:w="0" w:type="dxa"/>
            <w:right w:w="108" w:type="dxa"/>
          </w:tblCellMar>
        </w:tblPrEx>
        <w:trPr>
          <w:trHeight w:val="400" w:hRule="atLeast"/>
        </w:trPr>
        <w:tc>
          <w:tcPr>
            <w:tcW w:w="198"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2</w:t>
            </w:r>
          </w:p>
        </w:tc>
        <w:tc>
          <w:tcPr>
            <w:tcW w:w="359"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投资风险补偿率</w:t>
            </w:r>
          </w:p>
        </w:tc>
        <w:tc>
          <w:tcPr>
            <w:tcW w:w="44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0.00%</w:t>
            </w:r>
          </w:p>
        </w:tc>
        <w:tc>
          <w:tcPr>
            <w:tcW w:w="32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kern w:val="0"/>
                <w:sz w:val="20"/>
              </w:rPr>
            </w:pPr>
            <w:r>
              <w:rPr>
                <w:rFonts w:hint="eastAsia" w:ascii="仿宋" w:hAnsi="仿宋" w:eastAsia="仿宋" w:cs="仿宋"/>
                <w:i w:val="0"/>
                <w:iCs w:val="0"/>
                <w:color w:val="auto"/>
                <w:kern w:val="0"/>
                <w:sz w:val="20"/>
                <w:szCs w:val="20"/>
                <w:u w:val="none"/>
                <w:lang w:val="en-US" w:eastAsia="zh-CN" w:bidi="ar"/>
              </w:rPr>
              <w:t>0.1</w:t>
            </w:r>
          </w:p>
        </w:tc>
        <w:tc>
          <w:tcPr>
            <w:tcW w:w="723"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投资周期风险</w:t>
            </w:r>
          </w:p>
        </w:tc>
        <w:tc>
          <w:tcPr>
            <w:tcW w:w="4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10.00%</w:t>
            </w:r>
          </w:p>
        </w:tc>
        <w:tc>
          <w:tcPr>
            <w:tcW w:w="2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kern w:val="0"/>
                <w:sz w:val="20"/>
              </w:rPr>
            </w:pPr>
            <w:r>
              <w:rPr>
                <w:rFonts w:hint="eastAsia" w:ascii="仿宋" w:hAnsi="仿宋" w:eastAsia="仿宋" w:cs="仿宋"/>
                <w:i w:val="0"/>
                <w:iCs w:val="0"/>
                <w:color w:val="auto"/>
                <w:kern w:val="0"/>
                <w:sz w:val="20"/>
                <w:szCs w:val="20"/>
                <w:u w:val="none"/>
                <w:lang w:val="en-US" w:eastAsia="zh-CN" w:bidi="ar"/>
              </w:rPr>
              <w:t>1～2</w:t>
            </w:r>
          </w:p>
        </w:tc>
        <w:tc>
          <w:tcPr>
            <w:tcW w:w="39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19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359"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47"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32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0.1</w:t>
            </w:r>
          </w:p>
        </w:tc>
        <w:tc>
          <w:tcPr>
            <w:tcW w:w="723"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退出损失风险</w:t>
            </w:r>
          </w:p>
        </w:tc>
        <w:tc>
          <w:tcPr>
            <w:tcW w:w="4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10.00%</w:t>
            </w:r>
          </w:p>
        </w:tc>
        <w:tc>
          <w:tcPr>
            <w:tcW w:w="2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39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19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359"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47"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32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0.1</w:t>
            </w:r>
          </w:p>
        </w:tc>
        <w:tc>
          <w:tcPr>
            <w:tcW w:w="723"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竞争能力风险</w:t>
            </w:r>
          </w:p>
        </w:tc>
        <w:tc>
          <w:tcPr>
            <w:tcW w:w="4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10.00%</w:t>
            </w:r>
          </w:p>
        </w:tc>
        <w:tc>
          <w:tcPr>
            <w:tcW w:w="2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39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19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359"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47"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32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0.1</w:t>
            </w:r>
          </w:p>
        </w:tc>
        <w:tc>
          <w:tcPr>
            <w:tcW w:w="723"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投资规模风险</w:t>
            </w:r>
          </w:p>
        </w:tc>
        <w:tc>
          <w:tcPr>
            <w:tcW w:w="4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10.00%</w:t>
            </w:r>
          </w:p>
        </w:tc>
        <w:tc>
          <w:tcPr>
            <w:tcW w:w="2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39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19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359"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47"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32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0.2</w:t>
            </w:r>
          </w:p>
        </w:tc>
        <w:tc>
          <w:tcPr>
            <w:tcW w:w="723"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收益稳定性风险</w:t>
            </w:r>
          </w:p>
        </w:tc>
        <w:tc>
          <w:tcPr>
            <w:tcW w:w="4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20.00%</w:t>
            </w:r>
          </w:p>
        </w:tc>
        <w:tc>
          <w:tcPr>
            <w:tcW w:w="2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39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19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359"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47"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32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0.2</w:t>
            </w:r>
          </w:p>
        </w:tc>
        <w:tc>
          <w:tcPr>
            <w:tcW w:w="723"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市场规模和成熟程度风险</w:t>
            </w:r>
          </w:p>
        </w:tc>
        <w:tc>
          <w:tcPr>
            <w:tcW w:w="4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20.00%</w:t>
            </w:r>
          </w:p>
        </w:tc>
        <w:tc>
          <w:tcPr>
            <w:tcW w:w="2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39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19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359"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47"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32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0.1</w:t>
            </w:r>
          </w:p>
        </w:tc>
        <w:tc>
          <w:tcPr>
            <w:tcW w:w="723"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市场失衡的可能性风险</w:t>
            </w:r>
          </w:p>
        </w:tc>
        <w:tc>
          <w:tcPr>
            <w:tcW w:w="4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10.00%</w:t>
            </w:r>
          </w:p>
        </w:tc>
        <w:tc>
          <w:tcPr>
            <w:tcW w:w="2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39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19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359"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4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15.00%</w:t>
            </w:r>
          </w:p>
        </w:tc>
        <w:tc>
          <w:tcPr>
            <w:tcW w:w="32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0.2</w:t>
            </w:r>
          </w:p>
        </w:tc>
        <w:tc>
          <w:tcPr>
            <w:tcW w:w="723"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政策风险</w:t>
            </w:r>
          </w:p>
        </w:tc>
        <w:tc>
          <w:tcPr>
            <w:tcW w:w="4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10.00%</w:t>
            </w:r>
          </w:p>
        </w:tc>
        <w:tc>
          <w:tcPr>
            <w:tcW w:w="2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39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2</w:t>
            </w:r>
          </w:p>
        </w:tc>
      </w:tr>
      <w:tr>
        <w:tblPrEx>
          <w:tblCellMar>
            <w:top w:w="0" w:type="dxa"/>
            <w:left w:w="108" w:type="dxa"/>
            <w:bottom w:w="0" w:type="dxa"/>
            <w:right w:w="108" w:type="dxa"/>
          </w:tblCellMar>
        </w:tblPrEx>
        <w:trPr>
          <w:trHeight w:val="400" w:hRule="atLeast"/>
        </w:trPr>
        <w:tc>
          <w:tcPr>
            <w:tcW w:w="558"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小计</w:t>
            </w:r>
          </w:p>
        </w:tc>
        <w:tc>
          <w:tcPr>
            <w:tcW w:w="44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1.65%</w:t>
            </w:r>
          </w:p>
        </w:tc>
        <w:tc>
          <w:tcPr>
            <w:tcW w:w="32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1.1</w:t>
            </w:r>
          </w:p>
        </w:tc>
        <w:tc>
          <w:tcPr>
            <w:tcW w:w="723"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4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100.00%</w:t>
            </w:r>
          </w:p>
        </w:tc>
        <w:tc>
          <w:tcPr>
            <w:tcW w:w="259"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397" w:type="pct"/>
            <w:gridSpan w:val="2"/>
            <w:tcBorders>
              <w:top w:val="single" w:color="000000" w:sz="4" w:space="0"/>
              <w:left w:val="single" w:color="000000" w:sz="4" w:space="0"/>
              <w:bottom w:val="single" w:color="000000" w:sz="4" w:space="0"/>
              <w:right w:val="single" w:color="000000" w:sz="4" w:space="0"/>
            </w:tcBorders>
            <w:vAlign w:val="center"/>
          </w:tcPr>
          <w:p>
            <w:pPr>
              <w:jc w:val="center"/>
              <w:rPr>
                <w:color w:val="auto"/>
              </w:rPr>
            </w:pPr>
          </w:p>
        </w:tc>
      </w:tr>
      <w:tr>
        <w:tblPrEx>
          <w:tblCellMar>
            <w:top w:w="0" w:type="dxa"/>
            <w:left w:w="108" w:type="dxa"/>
            <w:bottom w:w="0" w:type="dxa"/>
            <w:right w:w="108" w:type="dxa"/>
          </w:tblCellMar>
        </w:tblPrEx>
        <w:trPr>
          <w:trHeight w:val="400" w:hRule="atLeast"/>
        </w:trPr>
        <w:tc>
          <w:tcPr>
            <w:tcW w:w="198"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w:t>
            </w:r>
          </w:p>
        </w:tc>
        <w:tc>
          <w:tcPr>
            <w:tcW w:w="359" w:type="pct"/>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olor w:val="000000"/>
                <w:sz w:val="20"/>
              </w:rPr>
            </w:pPr>
            <w:r>
              <w:rPr>
                <w:rFonts w:hint="eastAsia" w:ascii="仿宋" w:hAnsi="仿宋" w:eastAsia="仿宋"/>
                <w:color w:val="000000"/>
                <w:sz w:val="20"/>
              </w:rPr>
              <w:t>0.00%</w:t>
            </w:r>
          </w:p>
          <w:p>
            <w:pPr>
              <w:jc w:val="center"/>
              <w:rPr>
                <w:rFonts w:ascii="仿宋" w:hAnsi="仿宋" w:eastAsia="仿宋"/>
                <w:color w:val="000000"/>
                <w:sz w:val="20"/>
              </w:rPr>
            </w:pPr>
            <w:r>
              <w:rPr>
                <w:rFonts w:hint="eastAsia" w:ascii="仿宋" w:hAnsi="仿宋" w:eastAsia="仿宋"/>
                <w:color w:val="000000"/>
                <w:sz w:val="20"/>
              </w:rPr>
              <w:t>　</w:t>
            </w:r>
          </w:p>
          <w:p>
            <w:pPr>
              <w:jc w:val="center"/>
              <w:rPr>
                <w:rFonts w:ascii="仿宋" w:hAnsi="仿宋" w:eastAsia="仿宋"/>
                <w:color w:val="000000"/>
                <w:sz w:val="20"/>
              </w:rPr>
            </w:pPr>
            <w:r>
              <w:rPr>
                <w:rFonts w:hint="eastAsia" w:ascii="仿宋" w:hAnsi="仿宋" w:eastAsia="仿宋"/>
                <w:color w:val="000000"/>
                <w:sz w:val="20"/>
              </w:rPr>
              <w:t>　</w:t>
            </w:r>
          </w:p>
          <w:p>
            <w:pPr>
              <w:jc w:val="center"/>
              <w:rPr>
                <w:rFonts w:ascii="仿宋" w:hAnsi="仿宋" w:eastAsia="仿宋"/>
                <w:color w:val="000000"/>
                <w:sz w:val="20"/>
              </w:rPr>
            </w:pPr>
            <w:r>
              <w:rPr>
                <w:rFonts w:hint="eastAsia" w:ascii="仿宋" w:hAnsi="仿宋" w:eastAsia="仿宋"/>
                <w:sz w:val="20"/>
              </w:rPr>
              <w:t>4.00%</w:t>
            </w:r>
          </w:p>
        </w:tc>
        <w:tc>
          <w:tcPr>
            <w:tcW w:w="44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0.00%</w:t>
            </w:r>
          </w:p>
        </w:tc>
        <w:tc>
          <w:tcPr>
            <w:tcW w:w="32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0.25</w:t>
            </w:r>
          </w:p>
        </w:tc>
        <w:tc>
          <w:tcPr>
            <w:tcW w:w="723"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管理难易程度</w:t>
            </w:r>
          </w:p>
        </w:tc>
        <w:tc>
          <w:tcPr>
            <w:tcW w:w="4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25.00%</w:t>
            </w:r>
          </w:p>
        </w:tc>
        <w:tc>
          <w:tcPr>
            <w:tcW w:w="2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39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19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359"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47"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32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0.5</w:t>
            </w:r>
          </w:p>
        </w:tc>
        <w:tc>
          <w:tcPr>
            <w:tcW w:w="723"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管理对价值的影响程度</w:t>
            </w:r>
          </w:p>
        </w:tc>
        <w:tc>
          <w:tcPr>
            <w:tcW w:w="4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25.00%</w:t>
            </w:r>
          </w:p>
        </w:tc>
        <w:tc>
          <w:tcPr>
            <w:tcW w:w="2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39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2</w:t>
            </w:r>
          </w:p>
        </w:tc>
      </w:tr>
      <w:tr>
        <w:tblPrEx>
          <w:tblCellMar>
            <w:top w:w="0" w:type="dxa"/>
            <w:left w:w="108" w:type="dxa"/>
            <w:bottom w:w="0" w:type="dxa"/>
            <w:right w:w="108" w:type="dxa"/>
          </w:tblCellMar>
        </w:tblPrEx>
        <w:trPr>
          <w:trHeight w:val="400" w:hRule="atLeast"/>
        </w:trPr>
        <w:tc>
          <w:tcPr>
            <w:tcW w:w="19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359"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47"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32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0.25</w:t>
            </w:r>
          </w:p>
        </w:tc>
        <w:tc>
          <w:tcPr>
            <w:tcW w:w="723"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管理的成本费用水平</w:t>
            </w:r>
          </w:p>
        </w:tc>
        <w:tc>
          <w:tcPr>
            <w:tcW w:w="4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25.00%</w:t>
            </w:r>
          </w:p>
        </w:tc>
        <w:tc>
          <w:tcPr>
            <w:tcW w:w="2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39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19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359"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p>
        </w:tc>
        <w:tc>
          <w:tcPr>
            <w:tcW w:w="44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4.00%</w:t>
            </w:r>
          </w:p>
        </w:tc>
        <w:tc>
          <w:tcPr>
            <w:tcW w:w="32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0.25</w:t>
            </w:r>
          </w:p>
        </w:tc>
        <w:tc>
          <w:tcPr>
            <w:tcW w:w="723"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专业性</w:t>
            </w:r>
          </w:p>
        </w:tc>
        <w:tc>
          <w:tcPr>
            <w:tcW w:w="4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25.00%</w:t>
            </w:r>
          </w:p>
        </w:tc>
        <w:tc>
          <w:tcPr>
            <w:tcW w:w="2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9～10</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7～8</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5～6</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3～4</w:t>
            </w: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sz w:val="20"/>
              </w:rPr>
            </w:pPr>
            <w:r>
              <w:rPr>
                <w:rFonts w:hint="eastAsia" w:ascii="仿宋" w:hAnsi="仿宋" w:eastAsia="仿宋" w:cs="仿宋"/>
                <w:i w:val="0"/>
                <w:iCs w:val="0"/>
                <w:color w:val="auto"/>
                <w:kern w:val="0"/>
                <w:sz w:val="20"/>
                <w:szCs w:val="20"/>
                <w:u w:val="none"/>
                <w:lang w:val="en-US" w:eastAsia="zh-CN" w:bidi="ar"/>
              </w:rPr>
              <w:t>1～2</w:t>
            </w:r>
          </w:p>
        </w:tc>
        <w:tc>
          <w:tcPr>
            <w:tcW w:w="397"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w:t>
            </w:r>
          </w:p>
        </w:tc>
      </w:tr>
      <w:tr>
        <w:tblPrEx>
          <w:tblCellMar>
            <w:top w:w="0" w:type="dxa"/>
            <w:left w:w="108" w:type="dxa"/>
            <w:bottom w:w="0" w:type="dxa"/>
            <w:right w:w="108" w:type="dxa"/>
          </w:tblCellMar>
        </w:tblPrEx>
        <w:trPr>
          <w:trHeight w:val="400" w:hRule="atLeast"/>
        </w:trPr>
        <w:tc>
          <w:tcPr>
            <w:tcW w:w="558"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小计</w:t>
            </w:r>
          </w:p>
        </w:tc>
        <w:tc>
          <w:tcPr>
            <w:tcW w:w="44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0.50%</w:t>
            </w:r>
          </w:p>
        </w:tc>
        <w:tc>
          <w:tcPr>
            <w:tcW w:w="32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1.25</w:t>
            </w:r>
          </w:p>
        </w:tc>
        <w:tc>
          <w:tcPr>
            <w:tcW w:w="723"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459"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color w:val="auto"/>
              </w:rPr>
            </w:pPr>
            <w:r>
              <w:rPr>
                <w:rFonts w:hint="eastAsia" w:ascii="仿宋" w:hAnsi="仿宋" w:eastAsia="仿宋" w:cs="仿宋"/>
                <w:i w:val="0"/>
                <w:iCs w:val="0"/>
                <w:color w:val="auto"/>
                <w:kern w:val="0"/>
                <w:sz w:val="20"/>
                <w:szCs w:val="20"/>
                <w:u w:val="none"/>
                <w:lang w:val="en-US" w:eastAsia="zh-CN" w:bidi="ar"/>
              </w:rPr>
              <w:t>100.00%</w:t>
            </w:r>
          </w:p>
        </w:tc>
        <w:tc>
          <w:tcPr>
            <w:tcW w:w="259"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457" w:type="pct"/>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c>
          <w:tcPr>
            <w:tcW w:w="397" w:type="pct"/>
            <w:gridSpan w:val="2"/>
            <w:tcBorders>
              <w:top w:val="single" w:color="000000" w:sz="4" w:space="0"/>
              <w:left w:val="single" w:color="000000" w:sz="4" w:space="0"/>
              <w:bottom w:val="single" w:color="000000" w:sz="4" w:space="0"/>
              <w:right w:val="single" w:color="000000" w:sz="4" w:space="0"/>
            </w:tcBorders>
            <w:vAlign w:val="center"/>
          </w:tcPr>
          <w:p>
            <w:pPr>
              <w:jc w:val="center"/>
              <w:rPr>
                <w:color w:val="auto"/>
              </w:rPr>
            </w:pPr>
          </w:p>
        </w:tc>
      </w:tr>
      <w:tr>
        <w:tblPrEx>
          <w:tblCellMar>
            <w:top w:w="0" w:type="dxa"/>
            <w:left w:w="108" w:type="dxa"/>
            <w:bottom w:w="0" w:type="dxa"/>
            <w:right w:w="108" w:type="dxa"/>
          </w:tblCellMar>
        </w:tblPrEx>
        <w:trPr>
          <w:trHeight w:val="400" w:hRule="atLeast"/>
        </w:trPr>
        <w:tc>
          <w:tcPr>
            <w:tcW w:w="1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4</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缺乏流动性补偿率</w:t>
            </w:r>
          </w:p>
        </w:tc>
        <w:tc>
          <w:tcPr>
            <w:tcW w:w="44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0-4%</w:t>
            </w:r>
          </w:p>
        </w:tc>
        <w:tc>
          <w:tcPr>
            <w:tcW w:w="3993" w:type="pct"/>
            <w:gridSpan w:val="1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详见表B</w:t>
            </w:r>
          </w:p>
        </w:tc>
      </w:tr>
      <w:tr>
        <w:tblPrEx>
          <w:tblCellMar>
            <w:top w:w="0" w:type="dxa"/>
            <w:left w:w="108" w:type="dxa"/>
            <w:bottom w:w="0" w:type="dxa"/>
            <w:right w:w="108" w:type="dxa"/>
          </w:tblCellMar>
        </w:tblPrEx>
        <w:trPr>
          <w:trHeight w:val="400" w:hRule="atLeast"/>
        </w:trPr>
        <w:tc>
          <w:tcPr>
            <w:tcW w:w="558"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取值</w:t>
            </w:r>
          </w:p>
        </w:tc>
        <w:tc>
          <w:tcPr>
            <w:tcW w:w="44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2.05%</w:t>
            </w:r>
          </w:p>
        </w:tc>
        <w:tc>
          <w:tcPr>
            <w:tcW w:w="3993" w:type="pct"/>
            <w:gridSpan w:val="14"/>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r>
      <w:tr>
        <w:tblPrEx>
          <w:tblCellMar>
            <w:top w:w="0" w:type="dxa"/>
            <w:left w:w="108" w:type="dxa"/>
            <w:bottom w:w="0" w:type="dxa"/>
            <w:right w:w="108" w:type="dxa"/>
          </w:tblCellMar>
        </w:tblPrEx>
        <w:trPr>
          <w:trHeight w:val="400" w:hRule="atLeast"/>
        </w:trPr>
        <w:tc>
          <w:tcPr>
            <w:tcW w:w="1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5</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易于获得融资的优惠率</w:t>
            </w:r>
          </w:p>
        </w:tc>
        <w:tc>
          <w:tcPr>
            <w:tcW w:w="44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0-2%</w:t>
            </w:r>
          </w:p>
        </w:tc>
        <w:tc>
          <w:tcPr>
            <w:tcW w:w="3993" w:type="pct"/>
            <w:gridSpan w:val="1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一般指房地产易于获得金融机构的抵押贷款支持</w:t>
            </w:r>
          </w:p>
        </w:tc>
      </w:tr>
      <w:tr>
        <w:tblPrEx>
          <w:tblCellMar>
            <w:top w:w="0" w:type="dxa"/>
            <w:left w:w="108" w:type="dxa"/>
            <w:bottom w:w="0" w:type="dxa"/>
            <w:right w:w="108" w:type="dxa"/>
          </w:tblCellMar>
        </w:tblPrEx>
        <w:trPr>
          <w:trHeight w:val="400" w:hRule="atLeast"/>
        </w:trPr>
        <w:tc>
          <w:tcPr>
            <w:tcW w:w="558"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取值</w:t>
            </w:r>
          </w:p>
        </w:tc>
        <w:tc>
          <w:tcPr>
            <w:tcW w:w="44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1.50%</w:t>
            </w:r>
          </w:p>
        </w:tc>
        <w:tc>
          <w:tcPr>
            <w:tcW w:w="3993" w:type="pct"/>
            <w:gridSpan w:val="14"/>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r>
      <w:tr>
        <w:tblPrEx>
          <w:tblCellMar>
            <w:top w:w="0" w:type="dxa"/>
            <w:left w:w="108" w:type="dxa"/>
            <w:bottom w:w="0" w:type="dxa"/>
            <w:right w:w="108" w:type="dxa"/>
          </w:tblCellMar>
        </w:tblPrEx>
        <w:trPr>
          <w:trHeight w:val="400" w:hRule="atLeast"/>
        </w:trPr>
        <w:tc>
          <w:tcPr>
            <w:tcW w:w="198"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6</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所得税抵扣的优惠率</w:t>
            </w:r>
          </w:p>
        </w:tc>
        <w:tc>
          <w:tcPr>
            <w:tcW w:w="44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0-2%</w:t>
            </w:r>
          </w:p>
        </w:tc>
        <w:tc>
          <w:tcPr>
            <w:tcW w:w="3993" w:type="pct"/>
            <w:gridSpan w:val="1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指房地产可能获得所得税抵扣方面的优惠</w:t>
            </w:r>
          </w:p>
        </w:tc>
      </w:tr>
      <w:tr>
        <w:tblPrEx>
          <w:tblCellMar>
            <w:top w:w="0" w:type="dxa"/>
            <w:left w:w="108" w:type="dxa"/>
            <w:bottom w:w="0" w:type="dxa"/>
            <w:right w:w="108" w:type="dxa"/>
          </w:tblCellMar>
        </w:tblPrEx>
        <w:trPr>
          <w:trHeight w:val="400" w:hRule="atLeast"/>
        </w:trPr>
        <w:tc>
          <w:tcPr>
            <w:tcW w:w="558"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取值</w:t>
            </w:r>
          </w:p>
        </w:tc>
        <w:tc>
          <w:tcPr>
            <w:tcW w:w="44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0%</w:t>
            </w:r>
          </w:p>
        </w:tc>
        <w:tc>
          <w:tcPr>
            <w:tcW w:w="3993" w:type="pct"/>
            <w:gridSpan w:val="14"/>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color w:val="auto"/>
                <w:kern w:val="0"/>
                <w:sz w:val="18"/>
                <w:szCs w:val="18"/>
              </w:rPr>
            </w:pPr>
          </w:p>
        </w:tc>
      </w:tr>
      <w:tr>
        <w:tblPrEx>
          <w:tblCellMar>
            <w:top w:w="0" w:type="dxa"/>
            <w:left w:w="108" w:type="dxa"/>
            <w:bottom w:w="0" w:type="dxa"/>
            <w:right w:w="108" w:type="dxa"/>
          </w:tblCellMar>
        </w:tblPrEx>
        <w:trPr>
          <w:trHeight w:val="400" w:hRule="atLeast"/>
        </w:trPr>
        <w:tc>
          <w:tcPr>
            <w:tcW w:w="558"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折现率</w:t>
            </w:r>
          </w:p>
        </w:tc>
        <w:tc>
          <w:tcPr>
            <w:tcW w:w="447"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 w:hAnsi="仿宋" w:eastAsia="仿宋"/>
                <w:color w:val="auto"/>
                <w:kern w:val="0"/>
                <w:sz w:val="20"/>
              </w:rPr>
            </w:pPr>
            <w:r>
              <w:rPr>
                <w:rFonts w:hint="eastAsia" w:ascii="仿宋" w:hAnsi="仿宋" w:eastAsia="仿宋" w:cs="仿宋"/>
                <w:i w:val="0"/>
                <w:iCs w:val="0"/>
                <w:color w:val="auto"/>
                <w:kern w:val="0"/>
                <w:sz w:val="20"/>
                <w:szCs w:val="20"/>
                <w:u w:val="none"/>
                <w:lang w:val="en-US" w:eastAsia="zh-CN" w:bidi="ar"/>
              </w:rPr>
              <w:t>4.20%</w:t>
            </w:r>
          </w:p>
        </w:tc>
        <w:tc>
          <w:tcPr>
            <w:tcW w:w="3993" w:type="pct"/>
            <w:gridSpan w:val="1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宋体"/>
                <w:color w:val="auto"/>
                <w:kern w:val="0"/>
                <w:sz w:val="18"/>
                <w:szCs w:val="18"/>
              </w:rPr>
            </w:pPr>
            <w:r>
              <w:rPr>
                <w:rFonts w:hint="eastAsia" w:ascii="仿宋" w:hAnsi="仿宋" w:eastAsia="仿宋" w:cs="仿宋"/>
                <w:i w:val="0"/>
                <w:iCs w:val="0"/>
                <w:color w:val="auto"/>
                <w:kern w:val="0"/>
                <w:sz w:val="20"/>
                <w:szCs w:val="20"/>
                <w:u w:val="none"/>
                <w:lang w:val="en-US" w:eastAsia="zh-CN" w:bidi="ar"/>
              </w:rPr>
              <w:t>报酬率=无风险报酬率+投资风险补偿率+管理负担补偿率+缺乏流动性补偿率-易于获得融资的优惠率-投资带来的优惠率</w:t>
            </w:r>
          </w:p>
        </w:tc>
      </w:tr>
    </w:tbl>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说明：</w:t>
      </w:r>
      <w:r>
        <w:rPr>
          <w:rFonts w:hint="eastAsia" w:ascii="仿宋_GB2312" w:hAnsi="Times New Roman" w:eastAsia="仿宋_GB2312" w:cs="Times New Roman"/>
          <w:snapToGrid w:val="0"/>
          <w:kern w:val="0"/>
          <w:sz w:val="28"/>
          <w:szCs w:val="28"/>
        </w:rPr>
        <w:fldChar w:fldCharType="begin"/>
      </w:r>
      <w:r>
        <w:rPr>
          <w:rFonts w:hint="eastAsia" w:ascii="仿宋_GB2312" w:hAnsi="Times New Roman" w:eastAsia="仿宋_GB2312" w:cs="Times New Roman"/>
          <w:snapToGrid w:val="0"/>
          <w:kern w:val="0"/>
          <w:sz w:val="28"/>
          <w:szCs w:val="28"/>
        </w:rPr>
        <w:instrText xml:space="preserve"> = 1 \* GB3 \* MERGEFORMAT </w:instrText>
      </w:r>
      <w:r>
        <w:rPr>
          <w:rFonts w:hint="eastAsia" w:ascii="仿宋_GB2312" w:hAnsi="Times New Roman" w:eastAsia="仿宋_GB2312" w:cs="Times New Roman"/>
          <w:snapToGrid w:val="0"/>
          <w:kern w:val="0"/>
          <w:sz w:val="28"/>
          <w:szCs w:val="28"/>
        </w:rPr>
        <w:fldChar w:fldCharType="separate"/>
      </w:r>
      <w:r>
        <w:rPr>
          <w:rFonts w:hint="eastAsia" w:ascii="仿宋_GB2312" w:hAnsi="Times New Roman" w:eastAsia="仿宋_GB2312" w:cs="Times New Roman"/>
          <w:snapToGrid w:val="0"/>
          <w:kern w:val="0"/>
          <w:sz w:val="28"/>
          <w:szCs w:val="28"/>
        </w:rPr>
        <w:t>①</w:t>
      </w:r>
      <w:r>
        <w:rPr>
          <w:rFonts w:hint="eastAsia" w:ascii="仿宋_GB2312" w:hAnsi="Times New Roman" w:eastAsia="仿宋_GB2312" w:cs="Times New Roman"/>
          <w:snapToGrid w:val="0"/>
          <w:kern w:val="0"/>
          <w:sz w:val="28"/>
          <w:szCs w:val="28"/>
        </w:rPr>
        <w:fldChar w:fldCharType="end"/>
      </w:r>
      <w:r>
        <w:rPr>
          <w:rFonts w:hint="eastAsia" w:ascii="仿宋_GB2312" w:hAnsi="Times New Roman" w:eastAsia="仿宋_GB2312" w:cs="Times New Roman"/>
          <w:snapToGrid w:val="0"/>
          <w:kern w:val="0"/>
          <w:sz w:val="28"/>
          <w:szCs w:val="28"/>
        </w:rPr>
        <w:t>投资风险报酬率，选用同期中国人民银行公布的一年期商业银行存款年利率；目前，中国人民银行公布的一年定期存款年利率为1.50%。</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fldChar w:fldCharType="begin"/>
      </w:r>
      <w:r>
        <w:rPr>
          <w:rFonts w:hint="eastAsia" w:ascii="仿宋_GB2312" w:hAnsi="Times New Roman" w:eastAsia="仿宋_GB2312" w:cs="Times New Roman"/>
          <w:snapToGrid w:val="0"/>
          <w:kern w:val="0"/>
          <w:sz w:val="28"/>
          <w:szCs w:val="28"/>
        </w:rPr>
        <w:instrText xml:space="preserve"> = 2 \* GB3 \* MERGEFORMAT </w:instrText>
      </w:r>
      <w:r>
        <w:rPr>
          <w:rFonts w:hint="eastAsia" w:ascii="仿宋_GB2312" w:hAnsi="Times New Roman" w:eastAsia="仿宋_GB2312" w:cs="Times New Roman"/>
          <w:snapToGrid w:val="0"/>
          <w:kern w:val="0"/>
          <w:sz w:val="28"/>
          <w:szCs w:val="28"/>
        </w:rPr>
        <w:fldChar w:fldCharType="separate"/>
      </w:r>
      <w:r>
        <w:rPr>
          <w:rFonts w:hint="eastAsia" w:ascii="仿宋_GB2312" w:hAnsi="Times New Roman" w:eastAsia="仿宋_GB2312" w:cs="Times New Roman"/>
          <w:snapToGrid w:val="0"/>
          <w:kern w:val="0"/>
          <w:sz w:val="28"/>
          <w:szCs w:val="28"/>
        </w:rPr>
        <w:t>②</w:t>
      </w:r>
      <w:r>
        <w:rPr>
          <w:rFonts w:hint="eastAsia" w:ascii="仿宋_GB2312" w:hAnsi="Times New Roman" w:eastAsia="仿宋_GB2312" w:cs="Times New Roman"/>
          <w:snapToGrid w:val="0"/>
          <w:kern w:val="0"/>
          <w:sz w:val="28"/>
          <w:szCs w:val="28"/>
        </w:rPr>
        <w:fldChar w:fldCharType="end"/>
      </w:r>
      <w:r>
        <w:rPr>
          <w:rFonts w:hint="eastAsia" w:ascii="仿宋_GB2312" w:hAnsi="Times New Roman" w:eastAsia="仿宋_GB2312" w:cs="Times New Roman"/>
          <w:snapToGrid w:val="0"/>
          <w:kern w:val="0"/>
          <w:sz w:val="28"/>
          <w:szCs w:val="28"/>
        </w:rPr>
        <w:t>根据估价人员调查行业相关情况，并结合估价人员的专业分析，认为投资风险补偿率的取值范围在0%--15%，而影响投资风险补偿率的主要因素有投资周期风险、退出损失风险、竞争能力风险、投资规模风险、收益稳定性风险、市场规模和成熟程度风险、市场失衡的可能性风险、政策风险等。估价人员通过对这些影响因素赋予一定的权重，对各项因素按高、中高、中、中低、低5个层次赋予分值，先求取加权平均分值，利用内部插值法得出投资风险补偿率。</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fldChar w:fldCharType="begin"/>
      </w:r>
      <w:r>
        <w:rPr>
          <w:rFonts w:hint="eastAsia" w:ascii="仿宋_GB2312" w:hAnsi="Times New Roman" w:eastAsia="仿宋_GB2312" w:cs="Times New Roman"/>
          <w:snapToGrid w:val="0"/>
          <w:kern w:val="0"/>
          <w:sz w:val="28"/>
          <w:szCs w:val="28"/>
        </w:rPr>
        <w:instrText xml:space="preserve"> = 3 \* GB3 \* MERGEFORMAT </w:instrText>
      </w:r>
      <w:r>
        <w:rPr>
          <w:rFonts w:hint="eastAsia" w:ascii="仿宋_GB2312" w:hAnsi="Times New Roman" w:eastAsia="仿宋_GB2312" w:cs="Times New Roman"/>
          <w:snapToGrid w:val="0"/>
          <w:kern w:val="0"/>
          <w:sz w:val="28"/>
          <w:szCs w:val="28"/>
        </w:rPr>
        <w:fldChar w:fldCharType="separate"/>
      </w:r>
      <w:r>
        <w:rPr>
          <w:rFonts w:hint="eastAsia" w:ascii="仿宋_GB2312" w:hAnsi="Times New Roman" w:eastAsia="仿宋_GB2312" w:cs="Times New Roman"/>
          <w:snapToGrid w:val="0"/>
          <w:kern w:val="0"/>
          <w:sz w:val="28"/>
          <w:szCs w:val="28"/>
        </w:rPr>
        <w:t>③</w:t>
      </w:r>
      <w:r>
        <w:rPr>
          <w:rFonts w:hint="eastAsia" w:ascii="仿宋_GB2312" w:hAnsi="Times New Roman" w:eastAsia="仿宋_GB2312" w:cs="Times New Roman"/>
          <w:snapToGrid w:val="0"/>
          <w:kern w:val="0"/>
          <w:sz w:val="28"/>
          <w:szCs w:val="28"/>
        </w:rPr>
        <w:fldChar w:fldCharType="end"/>
      </w:r>
      <w:r>
        <w:rPr>
          <w:rFonts w:hint="eastAsia" w:ascii="仿宋_GB2312" w:hAnsi="Times New Roman" w:eastAsia="仿宋_GB2312" w:cs="Times New Roman"/>
          <w:snapToGrid w:val="0"/>
          <w:kern w:val="0"/>
          <w:sz w:val="28"/>
          <w:szCs w:val="28"/>
        </w:rPr>
        <w:t>管理负担补偿率，根据估价人员调查行业相关情况，并结合估价人员的专业分析，认为管理负担补偿率的取值范围在0%--4%，而影响管理负担补偿率的主要因素有管理难易程度、管理对价值的影响程度、管理的成本费用水平、专业性等。估价人员通过对这些影响因素赋予一定的权重，对各项因素按高、中高、中、中低、低5个层次赋予分值，先求取加权平均分值，利用内部插值法得出管理负担补偿率。</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fldChar w:fldCharType="begin"/>
      </w:r>
      <w:r>
        <w:rPr>
          <w:rFonts w:hint="eastAsia" w:ascii="仿宋_GB2312" w:hAnsi="Times New Roman" w:eastAsia="仿宋_GB2312" w:cs="Times New Roman"/>
          <w:snapToGrid w:val="0"/>
          <w:kern w:val="0"/>
          <w:sz w:val="28"/>
          <w:szCs w:val="28"/>
        </w:rPr>
        <w:instrText xml:space="preserve"> = 4 \* GB3 \* MERGEFORMAT </w:instrText>
      </w:r>
      <w:r>
        <w:rPr>
          <w:rFonts w:hint="eastAsia" w:ascii="仿宋_GB2312" w:hAnsi="Times New Roman" w:eastAsia="仿宋_GB2312" w:cs="Times New Roman"/>
          <w:snapToGrid w:val="0"/>
          <w:kern w:val="0"/>
          <w:sz w:val="28"/>
          <w:szCs w:val="28"/>
        </w:rPr>
        <w:fldChar w:fldCharType="separate"/>
      </w:r>
      <w:r>
        <w:rPr>
          <w:rFonts w:hint="eastAsia" w:ascii="仿宋_GB2312" w:hAnsi="Times New Roman" w:eastAsia="仿宋_GB2312" w:cs="Times New Roman"/>
          <w:snapToGrid w:val="0"/>
          <w:kern w:val="0"/>
          <w:sz w:val="28"/>
          <w:szCs w:val="28"/>
        </w:rPr>
        <w:t>④</w:t>
      </w:r>
      <w:r>
        <w:rPr>
          <w:rFonts w:hint="eastAsia" w:ascii="仿宋_GB2312" w:hAnsi="Times New Roman" w:eastAsia="仿宋_GB2312" w:cs="Times New Roman"/>
          <w:snapToGrid w:val="0"/>
          <w:kern w:val="0"/>
          <w:sz w:val="28"/>
          <w:szCs w:val="28"/>
        </w:rPr>
        <w:fldChar w:fldCharType="end"/>
      </w:r>
      <w:r>
        <w:rPr>
          <w:rFonts w:hint="eastAsia" w:ascii="仿宋_GB2312" w:hAnsi="Times New Roman" w:eastAsia="仿宋_GB2312" w:cs="Times New Roman"/>
          <w:snapToGrid w:val="0"/>
          <w:kern w:val="0"/>
          <w:sz w:val="28"/>
          <w:szCs w:val="28"/>
        </w:rPr>
        <w:t>缺乏流动性补偿率，根据估价人员调查行业相关情况，并结合估价人员专业分析，估价对象为通用性物业，在市场上能自由出售，处于活跃市场状态，无其他限制条件，详见下表B：</w:t>
      </w:r>
    </w:p>
    <w:tbl>
      <w:tblPr>
        <w:tblStyle w:val="45"/>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9"/>
        <w:gridCol w:w="1851"/>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tcPr>
          <w:p>
            <w:pPr>
              <w:spacing w:line="480" w:lineRule="exact"/>
              <w:jc w:val="center"/>
              <w:rPr>
                <w:rFonts w:ascii="仿宋_GB2312" w:hAnsi="仿宋" w:eastAsia="仿宋_GB2312" w:cs="仿宋"/>
                <w:szCs w:val="21"/>
              </w:rPr>
            </w:pPr>
            <w:r>
              <w:rPr>
                <w:rFonts w:hint="eastAsia" w:ascii="仿宋_GB2312" w:hAnsi="仿宋" w:eastAsia="仿宋_GB2312" w:cs="仿宋"/>
                <w:b/>
                <w:bCs/>
                <w:szCs w:val="21"/>
              </w:rPr>
              <w:t>若房地产为通用性物业</w:t>
            </w:r>
          </w:p>
        </w:tc>
        <w:tc>
          <w:tcPr>
            <w:tcW w:w="1851" w:type="dxa"/>
          </w:tcPr>
          <w:p>
            <w:pPr>
              <w:spacing w:line="480" w:lineRule="exact"/>
              <w:jc w:val="center"/>
              <w:rPr>
                <w:rFonts w:ascii="仿宋_GB2312" w:hAnsi="仿宋" w:eastAsia="仿宋_GB2312" w:cs="仿宋"/>
                <w:szCs w:val="21"/>
              </w:rPr>
            </w:pPr>
          </w:p>
        </w:tc>
        <w:tc>
          <w:tcPr>
            <w:tcW w:w="1313" w:type="dxa"/>
          </w:tcPr>
          <w:p>
            <w:pPr>
              <w:spacing w:line="480" w:lineRule="exact"/>
              <w:jc w:val="center"/>
              <w:rPr>
                <w:rFonts w:ascii="仿宋_GB2312" w:hAnsi="仿宋" w:eastAsia="仿宋_GB2312" w:cs="仿宋"/>
                <w:szCs w:val="21"/>
              </w:rPr>
            </w:pPr>
            <w:r>
              <w:rPr>
                <w:rFonts w:hint="eastAsia" w:ascii="仿宋_GB2312" w:hAnsi="仿宋" w:eastAsia="仿宋_GB2312" w:cs="仿宋"/>
                <w:szCs w:val="21"/>
              </w:rPr>
              <w:t>判定状况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能自由出售，不受管制</w:t>
            </w:r>
          </w:p>
        </w:tc>
        <w:tc>
          <w:tcPr>
            <w:tcW w:w="1851" w:type="dxa"/>
            <w:vMerge w:val="restart"/>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流动性最大</w:t>
            </w:r>
          </w:p>
        </w:tc>
        <w:tc>
          <w:tcPr>
            <w:tcW w:w="1313" w:type="dxa"/>
            <w:vMerge w:val="restart"/>
          </w:tcPr>
          <w:p>
            <w:pPr>
              <w:spacing w:line="480" w:lineRule="exact"/>
              <w:jc w:val="center"/>
              <w:rPr>
                <w:rFonts w:ascii="仿宋_GB2312" w:hAnsi="仿宋" w:eastAsia="仿宋_GB2312" w:cs="仿宋"/>
                <w:szCs w:val="21"/>
              </w:rPr>
            </w:pPr>
            <w:r>
              <w:rPr>
                <w:rFonts w:hint="eastAsia" w:ascii="仿宋_GB2312" w:hAnsi="仿宋" w:eastAsia="仿宋_GB2312" w:cs="仿宋"/>
                <w:szCs w:val="21"/>
              </w:rPr>
              <w:t>2.05%</w:t>
            </w:r>
          </w:p>
          <w:p>
            <w:pPr>
              <w:spacing w:line="480" w:lineRule="exact"/>
              <w:jc w:val="center"/>
              <w:rPr>
                <w:rFonts w:ascii="仿宋_GB2312" w:hAnsi="仿宋" w:eastAsia="仿宋_GB2312" w:cs="仿宋"/>
                <w:szCs w:val="21"/>
              </w:rPr>
            </w:pPr>
          </w:p>
          <w:p>
            <w:pPr>
              <w:spacing w:line="480" w:lineRule="exact"/>
              <w:jc w:val="center"/>
              <w:rPr>
                <w:rFonts w:ascii="仿宋_GB2312" w:hAnsi="仿宋" w:eastAsia="仿宋_GB2312" w:cs="仿宋"/>
                <w:szCs w:val="21"/>
              </w:rPr>
            </w:pPr>
          </w:p>
          <w:p>
            <w:pPr>
              <w:spacing w:line="480" w:lineRule="exact"/>
              <w:jc w:val="center"/>
              <w:rPr>
                <w:rFonts w:ascii="仿宋_GB2312" w:hAnsi="仿宋" w:eastAsia="仿宋_GB2312" w:cs="仿宋"/>
                <w:szCs w:val="21"/>
              </w:rPr>
            </w:pPr>
          </w:p>
          <w:p>
            <w:pPr>
              <w:spacing w:line="480" w:lineRule="exact"/>
              <w:jc w:val="center"/>
              <w:rPr>
                <w:rFonts w:ascii="仿宋_GB2312" w:hAnsi="仿宋" w:eastAsia="仿宋_GB2312" w:cs="仿宋"/>
                <w:szCs w:val="21"/>
              </w:rPr>
            </w:pPr>
          </w:p>
          <w:p>
            <w:pPr>
              <w:spacing w:line="480" w:lineRule="exact"/>
              <w:jc w:val="center"/>
              <w:rPr>
                <w:rFonts w:ascii="仿宋_GB2312" w:hAnsi="仿宋" w:eastAsia="仿宋_GB2312" w:cs="仿宋"/>
                <w:szCs w:val="21"/>
              </w:rPr>
            </w:pPr>
          </w:p>
          <w:p>
            <w:pPr>
              <w:spacing w:line="480" w:lineRule="exact"/>
              <w:jc w:val="center"/>
              <w:rPr>
                <w:rFonts w:ascii="仿宋_GB2312" w:hAnsi="仿宋" w:eastAsia="仿宋_GB2312" w:cs="仿宋"/>
                <w:szCs w:val="21"/>
              </w:rPr>
            </w:pPr>
          </w:p>
          <w:p>
            <w:pPr>
              <w:spacing w:line="480" w:lineRule="exact"/>
              <w:jc w:val="center"/>
              <w:rPr>
                <w:rFonts w:ascii="仿宋_GB2312" w:hAnsi="仿宋" w:eastAsia="仿宋_GB2312" w:cs="仿宋"/>
                <w:szCs w:val="21"/>
              </w:rPr>
            </w:pPr>
          </w:p>
          <w:p>
            <w:pPr>
              <w:spacing w:line="480" w:lineRule="exact"/>
              <w:jc w:val="center"/>
              <w:rPr>
                <w:rFonts w:ascii="仿宋_GB2312" w:hAnsi="仿宋" w:eastAsia="仿宋_GB2312" w:cs="仿宋"/>
                <w:szCs w:val="21"/>
              </w:rPr>
            </w:pPr>
          </w:p>
          <w:p>
            <w:pPr>
              <w:spacing w:line="480" w:lineRule="exact"/>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活跃市场</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非活跃市场</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受限制性房地产，但有一定市场</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活跃市场</w:t>
            </w:r>
          </w:p>
        </w:tc>
        <w:tc>
          <w:tcPr>
            <w:tcW w:w="1851" w:type="dxa"/>
            <w:vMerge w:val="restart"/>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           ∣             ∣             ∣                ∣              ∣           ∣             ∣                ∣             ∣           ∣            ↓</w:t>
            </w: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非活跃市场</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b/>
                <w:bCs/>
                <w:color w:val="000000"/>
                <w:kern w:val="0"/>
                <w:sz w:val="20"/>
                <w:lang w:bidi="ar"/>
              </w:rPr>
              <w:t>若房地产为专业性物业</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能自由出售，不受管制</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有市场证据：</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具有意义的替代数据（租金、成本、造价等）</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无替代数据（租金、成本、造价等）</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无市场证据：</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具有意义的替代数据（租金、成本、造价等）</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无替代数据（租金、成本、造价等）</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受管制，不能自由出售</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有市场证据：</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具有意义的替代数据（租金、成本、造价等）</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无替代数据（租金、成本、造价等）</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无市场证据：</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具有意义的替代数据（租金、成本、造价等）</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无替代数据（租金、成本、造价等）</w:t>
            </w:r>
          </w:p>
        </w:tc>
        <w:tc>
          <w:tcPr>
            <w:tcW w:w="1851" w:type="dxa"/>
            <w:vMerge w:val="continue"/>
            <w:vAlign w:val="center"/>
          </w:tcPr>
          <w:p>
            <w:pPr>
              <w:jc w:val="center"/>
              <w:rPr>
                <w:rFonts w:ascii="仿宋_GB2312" w:hAnsi="仿宋" w:eastAsia="仿宋_GB2312" w:cs="仿宋"/>
                <w:szCs w:val="21"/>
              </w:rPr>
            </w:pPr>
          </w:p>
        </w:tc>
        <w:tc>
          <w:tcPr>
            <w:tcW w:w="1313" w:type="dxa"/>
            <w:vMerge w:val="continue"/>
          </w:tcPr>
          <w:p>
            <w:pPr>
              <w:spacing w:line="480" w:lineRule="exact"/>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6799" w:type="dxa"/>
            <w:vAlign w:val="center"/>
          </w:tcPr>
          <w:p>
            <w:pPr>
              <w:jc w:val="center"/>
              <w:rPr>
                <w:rFonts w:ascii="仿宋_GB2312" w:hAnsi="仿宋" w:eastAsia="仿宋_GB2312" w:cs="仿宋"/>
                <w:szCs w:val="21"/>
              </w:rPr>
            </w:pPr>
          </w:p>
        </w:tc>
        <w:tc>
          <w:tcPr>
            <w:tcW w:w="1851" w:type="dxa"/>
            <w:vAlign w:val="center"/>
          </w:tcPr>
          <w:p>
            <w:pPr>
              <w:widowControl/>
              <w:jc w:val="center"/>
              <w:textAlignment w:val="center"/>
              <w:rPr>
                <w:rFonts w:ascii="仿宋_GB2312" w:hAnsi="仿宋" w:eastAsia="仿宋_GB2312" w:cs="仿宋"/>
                <w:szCs w:val="21"/>
              </w:rPr>
            </w:pPr>
            <w:r>
              <w:rPr>
                <w:rFonts w:hint="eastAsia" w:ascii="仿宋" w:hAnsi="仿宋" w:eastAsia="仿宋" w:cs="仿宋"/>
                <w:color w:val="000000"/>
                <w:kern w:val="0"/>
                <w:sz w:val="20"/>
                <w:lang w:bidi="ar"/>
              </w:rPr>
              <w:t>价值最受影响</w:t>
            </w:r>
          </w:p>
        </w:tc>
        <w:tc>
          <w:tcPr>
            <w:tcW w:w="1313" w:type="dxa"/>
            <w:vMerge w:val="continue"/>
          </w:tcPr>
          <w:p>
            <w:pPr>
              <w:spacing w:line="480" w:lineRule="exact"/>
              <w:rPr>
                <w:rFonts w:ascii="仿宋_GB2312" w:hAnsi="仿宋" w:eastAsia="仿宋_GB2312" w:cs="仿宋"/>
                <w:szCs w:val="21"/>
              </w:rPr>
            </w:pPr>
          </w:p>
        </w:tc>
      </w:tr>
    </w:tbl>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5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⑤</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投资带来的优惠率，易于获得融资的优惠率，根据估价人员调查行业相关情况，并结合估价人员的专业分析，估价对象作为房地产易于获得金融机构的抵押贷款支持，考虑此项因素。</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fldChar w:fldCharType="begin"/>
      </w:r>
      <w:r>
        <w:rPr>
          <w:rFonts w:hint="eastAsia" w:ascii="仿宋_GB2312" w:hAnsi="Times New Roman" w:eastAsia="仿宋_GB2312" w:cs="Times New Roman"/>
          <w:snapToGrid w:val="0"/>
          <w:kern w:val="0"/>
          <w:sz w:val="28"/>
          <w:szCs w:val="28"/>
        </w:rPr>
        <w:instrText xml:space="preserve"> = 6 \* GB3 \* MERGEFORMAT </w:instrText>
      </w:r>
      <w:r>
        <w:rPr>
          <w:rFonts w:hint="eastAsia" w:ascii="仿宋_GB2312" w:hAnsi="Times New Roman" w:eastAsia="仿宋_GB2312" w:cs="Times New Roman"/>
          <w:snapToGrid w:val="0"/>
          <w:kern w:val="0"/>
          <w:sz w:val="28"/>
          <w:szCs w:val="28"/>
        </w:rPr>
        <w:fldChar w:fldCharType="separate"/>
      </w:r>
      <w:r>
        <w:rPr>
          <w:rFonts w:hint="eastAsia" w:ascii="仿宋_GB2312" w:hAnsi="Times New Roman" w:eastAsia="仿宋_GB2312" w:cs="Times New Roman"/>
          <w:snapToGrid w:val="0"/>
          <w:kern w:val="0"/>
          <w:sz w:val="28"/>
          <w:szCs w:val="28"/>
        </w:rPr>
        <w:t>⑥</w:t>
      </w:r>
      <w:r>
        <w:rPr>
          <w:rFonts w:hint="eastAsia" w:ascii="仿宋_GB2312" w:hAnsi="Times New Roman" w:eastAsia="仿宋_GB2312" w:cs="Times New Roman"/>
          <w:snapToGrid w:val="0"/>
          <w:kern w:val="0"/>
          <w:sz w:val="28"/>
          <w:szCs w:val="28"/>
        </w:rPr>
        <w:fldChar w:fldCharType="end"/>
      </w:r>
      <w:r>
        <w:rPr>
          <w:rFonts w:hint="eastAsia" w:ascii="仿宋_GB2312" w:hAnsi="Times New Roman" w:eastAsia="仿宋_GB2312" w:cs="Times New Roman"/>
          <w:snapToGrid w:val="0"/>
          <w:kern w:val="0"/>
          <w:sz w:val="28"/>
          <w:szCs w:val="28"/>
        </w:rPr>
        <w:t>所得税抵扣的优惠率，根据估价人员调查行业相关情况，并结合估价人员专业分析，估价对象并未能获得所得税抵扣的优惠率，故不考虑所得税抵扣的优惠率。</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根据公式：</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hAnsi="Times New Roman" w:eastAsia="仿宋_GB2312" w:cs="Times New Roman"/>
          <w:snapToGrid w:val="0"/>
          <w:kern w:val="0"/>
          <w:sz w:val="28"/>
          <w:szCs w:val="28"/>
        </w:rPr>
        <w:t>折现率=无风险报酬率+投资风险补偿率+管理负担补偿率+缺乏流动性补偿率</w:t>
      </w:r>
      <w:r>
        <w:rPr>
          <w:rFonts w:hint="eastAsia" w:ascii="仿宋_GB2312" w:eastAsia="仿宋_GB2312"/>
          <w:snapToGrid w:val="0"/>
          <w:kern w:val="0"/>
          <w:sz w:val="28"/>
          <w:szCs w:val="28"/>
        </w:rPr>
        <w:t>-易于获得融资的优惠率-投资带来的优惠率</w:t>
      </w:r>
    </w:p>
    <w:p>
      <w:pPr>
        <w:tabs>
          <w:tab w:val="left" w:pos="0"/>
        </w:tabs>
        <w:adjustRightInd w:val="0"/>
        <w:snapToGrid w:val="0"/>
        <w:spacing w:line="480" w:lineRule="exact"/>
        <w:ind w:firstLine="480"/>
        <w:rPr>
          <w:rFonts w:ascii="仿宋_GB2312" w:eastAsia="仿宋_GB2312"/>
          <w:snapToGrid w:val="0"/>
          <w:color w:val="000000"/>
          <w:kern w:val="0"/>
          <w:sz w:val="28"/>
          <w:szCs w:val="28"/>
        </w:rPr>
      </w:pPr>
      <w:r>
        <w:rPr>
          <w:rFonts w:hint="eastAsia" w:ascii="仿宋_GB2312" w:eastAsia="仿宋_GB2312"/>
          <w:snapToGrid w:val="0"/>
          <w:kern w:val="0"/>
          <w:sz w:val="28"/>
          <w:szCs w:val="28"/>
        </w:rPr>
        <w:t>折现率</w:t>
      </w:r>
      <w:r>
        <w:rPr>
          <w:rFonts w:hint="eastAsia" w:ascii="仿宋_GB2312" w:eastAsia="仿宋_GB2312"/>
          <w:snapToGrid w:val="0"/>
          <w:color w:val="000000"/>
          <w:kern w:val="0"/>
          <w:sz w:val="28"/>
          <w:szCs w:val="28"/>
        </w:rPr>
        <w:t xml:space="preserve"> =1.50%+</w:t>
      </w:r>
      <w:r>
        <w:rPr>
          <w:rFonts w:hint="eastAsia" w:ascii="仿宋_GB2312" w:eastAsia="仿宋_GB2312"/>
          <w:snapToGrid w:val="0"/>
          <w:color w:val="000000"/>
          <w:kern w:val="0"/>
          <w:sz w:val="28"/>
          <w:szCs w:val="28"/>
          <w:lang w:val="en-US" w:eastAsia="zh-CN"/>
        </w:rPr>
        <w:t>1.65%</w:t>
      </w:r>
      <w:r>
        <w:rPr>
          <w:rFonts w:hint="eastAsia" w:ascii="仿宋_GB2312" w:eastAsia="仿宋_GB2312"/>
          <w:snapToGrid w:val="0"/>
          <w:color w:val="000000"/>
          <w:kern w:val="0"/>
          <w:sz w:val="28"/>
          <w:szCs w:val="28"/>
        </w:rPr>
        <w:t>+0.</w:t>
      </w:r>
      <w:r>
        <w:rPr>
          <w:rFonts w:hint="eastAsia" w:ascii="仿宋_GB2312" w:eastAsia="仿宋_GB2312"/>
          <w:snapToGrid w:val="0"/>
          <w:color w:val="000000"/>
          <w:kern w:val="0"/>
          <w:sz w:val="28"/>
          <w:szCs w:val="28"/>
          <w:lang w:val="en-US" w:eastAsia="zh-CN"/>
        </w:rPr>
        <w:t>5</w:t>
      </w:r>
      <w:r>
        <w:rPr>
          <w:rFonts w:hint="eastAsia" w:ascii="仿宋_GB2312" w:eastAsia="仿宋_GB2312"/>
          <w:snapToGrid w:val="0"/>
          <w:color w:val="000000"/>
          <w:kern w:val="0"/>
          <w:sz w:val="28"/>
          <w:szCs w:val="28"/>
        </w:rPr>
        <w:t>0%+2.0</w:t>
      </w:r>
      <w:r>
        <w:rPr>
          <w:rFonts w:hint="eastAsia" w:ascii="仿宋_GB2312" w:eastAsia="仿宋_GB2312"/>
          <w:snapToGrid w:val="0"/>
          <w:color w:val="000000"/>
          <w:kern w:val="0"/>
          <w:sz w:val="28"/>
          <w:szCs w:val="28"/>
          <w:lang w:val="en-US" w:eastAsia="zh-CN"/>
        </w:rPr>
        <w:t>5</w:t>
      </w:r>
      <w:r>
        <w:rPr>
          <w:rFonts w:hint="eastAsia" w:ascii="仿宋_GB2312" w:eastAsia="仿宋_GB2312"/>
          <w:snapToGrid w:val="0"/>
          <w:color w:val="000000"/>
          <w:kern w:val="0"/>
          <w:sz w:val="28"/>
          <w:szCs w:val="28"/>
        </w:rPr>
        <w:t>%-1.50%-0.00%</w:t>
      </w:r>
    </w:p>
    <w:p>
      <w:pPr>
        <w:tabs>
          <w:tab w:val="left" w:pos="0"/>
        </w:tabs>
        <w:adjustRightInd w:val="0"/>
        <w:snapToGrid w:val="0"/>
        <w:spacing w:line="480" w:lineRule="exact"/>
        <w:ind w:firstLine="1472" w:firstLineChars="437"/>
        <w:rPr>
          <w:rFonts w:ascii="仿宋_GB2312" w:eastAsia="仿宋_GB2312"/>
          <w:snapToGrid w:val="0"/>
          <w:color w:val="000000"/>
          <w:kern w:val="0"/>
          <w:sz w:val="28"/>
          <w:szCs w:val="28"/>
        </w:rPr>
      </w:pPr>
      <w:r>
        <w:rPr>
          <w:rFonts w:hint="eastAsia" w:ascii="仿宋_GB2312" w:eastAsia="仿宋_GB2312"/>
          <w:snapToGrid w:val="0"/>
          <w:color w:val="000000"/>
          <w:kern w:val="0"/>
          <w:sz w:val="28"/>
          <w:szCs w:val="28"/>
        </w:rPr>
        <w:t>=</w:t>
      </w:r>
      <w:r>
        <w:rPr>
          <w:rFonts w:hint="eastAsia" w:ascii="仿宋_GB2312" w:eastAsia="仿宋_GB2312"/>
          <w:snapToGrid w:val="0"/>
          <w:color w:val="000000"/>
          <w:kern w:val="0"/>
          <w:sz w:val="28"/>
          <w:szCs w:val="28"/>
          <w:lang w:val="en-US" w:eastAsia="zh-CN"/>
        </w:rPr>
        <w:t>4.2</w:t>
      </w:r>
      <w:r>
        <w:rPr>
          <w:rFonts w:hint="eastAsia" w:ascii="仿宋_GB2312" w:eastAsia="仿宋_GB2312"/>
          <w:snapToGrid w:val="0"/>
          <w:color w:val="000000"/>
          <w:kern w:val="0"/>
          <w:sz w:val="28"/>
          <w:szCs w:val="28"/>
        </w:rPr>
        <w:t>%</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⑶ 确定未来可获收益的年限</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根据估价人员实地查勘，估价对象房屋建筑结构为钢混结构，建成于</w:t>
      </w:r>
      <w:r>
        <w:rPr>
          <w:rFonts w:hint="eastAsia" w:ascii="仿宋_GB2312" w:eastAsia="仿宋_GB2312" w:cs="Times New Roman"/>
          <w:snapToGrid w:val="0"/>
          <w:kern w:val="0"/>
          <w:sz w:val="28"/>
          <w:szCs w:val="28"/>
          <w:lang w:val="en-US" w:eastAsia="zh-CN"/>
        </w:rPr>
        <w:t>1988</w:t>
      </w:r>
      <w:r>
        <w:rPr>
          <w:rFonts w:hint="eastAsia" w:ascii="仿宋_GB2312" w:hAnsi="Times New Roman" w:eastAsia="仿宋_GB2312" w:cs="Times New Roman"/>
          <w:snapToGrid w:val="0"/>
          <w:kern w:val="0"/>
          <w:sz w:val="28"/>
          <w:szCs w:val="28"/>
          <w:lang w:val="en-US" w:eastAsia="zh-CN"/>
        </w:rPr>
        <w:t>年</w:t>
      </w:r>
      <w:r>
        <w:rPr>
          <w:rFonts w:hint="eastAsia" w:ascii="仿宋_GB2312" w:eastAsia="仿宋_GB2312" w:cs="Times New Roman"/>
          <w:snapToGrid w:val="0"/>
          <w:kern w:val="0"/>
          <w:sz w:val="28"/>
          <w:szCs w:val="28"/>
          <w:lang w:val="en-US" w:eastAsia="zh-CN"/>
        </w:rPr>
        <w:t>7月28</w:t>
      </w:r>
      <w:r>
        <w:rPr>
          <w:rFonts w:hint="eastAsia" w:ascii="仿宋_GB2312" w:hAnsi="Times New Roman" w:eastAsia="仿宋_GB2312" w:cs="Times New Roman"/>
          <w:snapToGrid w:val="0"/>
          <w:kern w:val="0"/>
          <w:sz w:val="28"/>
          <w:szCs w:val="28"/>
        </w:rPr>
        <w:t>，至估价时点，建筑物尚可使用年限为约</w:t>
      </w:r>
      <w:r>
        <w:rPr>
          <w:rFonts w:hint="eastAsia" w:ascii="仿宋_GB2312" w:eastAsia="仿宋_GB2312" w:cs="Times New Roman"/>
          <w:snapToGrid w:val="0"/>
          <w:kern w:val="0"/>
          <w:sz w:val="28"/>
          <w:szCs w:val="28"/>
          <w:lang w:val="en-US" w:eastAsia="zh-CN"/>
        </w:rPr>
        <w:t>14.49</w:t>
      </w:r>
      <w:r>
        <w:rPr>
          <w:rFonts w:hint="eastAsia" w:ascii="仿宋_GB2312" w:hAnsi="Times New Roman" w:eastAsia="仿宋_GB2312" w:cs="Times New Roman"/>
          <w:snapToGrid w:val="0"/>
          <w:kern w:val="0"/>
          <w:sz w:val="28"/>
          <w:szCs w:val="28"/>
        </w:rPr>
        <w:t>年。</w:t>
      </w:r>
      <w:r>
        <w:rPr>
          <w:rFonts w:hint="eastAsia" w:ascii="仿宋_GB2312" w:eastAsia="仿宋_GB2312"/>
          <w:snapToGrid w:val="0"/>
          <w:color w:val="000000" w:themeColor="text1"/>
          <w:kern w:val="0"/>
          <w:sz w:val="28"/>
          <w:szCs w:val="28"/>
          <w14:textFill>
            <w14:solidFill>
              <w14:schemeClr w14:val="tx1"/>
            </w14:solidFill>
          </w14:textFill>
        </w:rPr>
        <w:t>估价对象《房屋所有权证》（权证号：粤房字第0944739号）登记日期为1989年1月8日，工业用地土地使用权最高法定年限为50年，截至价值时点20</w:t>
      </w:r>
      <w:r>
        <w:rPr>
          <w:rFonts w:hint="eastAsia" w:ascii="仿宋_GB2312" w:eastAsia="仿宋_GB2312"/>
          <w:snapToGrid w:val="0"/>
          <w:color w:val="000000" w:themeColor="text1"/>
          <w:kern w:val="0"/>
          <w:sz w:val="28"/>
          <w:szCs w:val="28"/>
          <w:lang w:val="en-US" w:eastAsia="zh-CN"/>
          <w14:textFill>
            <w14:solidFill>
              <w14:schemeClr w14:val="tx1"/>
            </w14:solidFill>
          </w14:textFill>
        </w:rPr>
        <w:t>24</w:t>
      </w:r>
      <w:r>
        <w:rPr>
          <w:rFonts w:hint="eastAsia" w:ascii="仿宋_GB2312" w:eastAsia="仿宋_GB2312"/>
          <w:snapToGrid w:val="0"/>
          <w:color w:val="000000" w:themeColor="text1"/>
          <w:kern w:val="0"/>
          <w:sz w:val="28"/>
          <w:szCs w:val="28"/>
          <w14:textFill>
            <w14:solidFill>
              <w14:schemeClr w14:val="tx1"/>
            </w14:solidFill>
          </w14:textFill>
        </w:rPr>
        <w:t>年2月</w:t>
      </w:r>
      <w:r>
        <w:rPr>
          <w:rFonts w:hint="eastAsia" w:ascii="仿宋_GB2312" w:eastAsia="仿宋_GB2312"/>
          <w:snapToGrid w:val="0"/>
          <w:color w:val="000000" w:themeColor="text1"/>
          <w:kern w:val="0"/>
          <w:sz w:val="28"/>
          <w:szCs w:val="28"/>
          <w:lang w:val="en-US" w:eastAsia="zh-CN"/>
          <w14:textFill>
            <w14:solidFill>
              <w14:schemeClr w14:val="tx1"/>
            </w14:solidFill>
          </w14:textFill>
        </w:rPr>
        <w:t>1</w:t>
      </w:r>
      <w:r>
        <w:rPr>
          <w:rFonts w:hint="eastAsia" w:ascii="仿宋_GB2312" w:eastAsia="仿宋_GB2312"/>
          <w:snapToGrid w:val="0"/>
          <w:color w:val="000000" w:themeColor="text1"/>
          <w:kern w:val="0"/>
          <w:sz w:val="28"/>
          <w:szCs w:val="28"/>
          <w14:textFill>
            <w14:solidFill>
              <w14:schemeClr w14:val="tx1"/>
            </w14:solidFill>
          </w14:textFill>
        </w:rPr>
        <w:t>日计算，剩余受益年限为</w:t>
      </w:r>
      <w:r>
        <w:rPr>
          <w:rFonts w:hint="eastAsia" w:ascii="仿宋_GB2312" w:eastAsia="仿宋_GB2312"/>
          <w:snapToGrid w:val="0"/>
          <w:color w:val="000000" w:themeColor="text1"/>
          <w:kern w:val="0"/>
          <w:sz w:val="28"/>
          <w:szCs w:val="28"/>
          <w:lang w:val="en-US" w:eastAsia="zh-CN"/>
          <w14:textFill>
            <w14:solidFill>
              <w14:schemeClr w14:val="tx1"/>
            </w14:solidFill>
          </w14:textFill>
        </w:rPr>
        <w:t>14.93</w:t>
      </w:r>
      <w:r>
        <w:rPr>
          <w:rFonts w:hint="eastAsia" w:ascii="仿宋_GB2312" w:eastAsia="仿宋_GB2312"/>
          <w:snapToGrid w:val="0"/>
          <w:color w:val="000000" w:themeColor="text1"/>
          <w:kern w:val="0"/>
          <w:sz w:val="28"/>
          <w:szCs w:val="28"/>
          <w14:textFill>
            <w14:solidFill>
              <w14:schemeClr w14:val="tx1"/>
            </w14:solidFill>
          </w14:textFill>
        </w:rPr>
        <w:t>年</w:t>
      </w:r>
      <w:r>
        <w:rPr>
          <w:rFonts w:hint="eastAsia" w:ascii="仿宋_GB2312" w:hAnsi="Times New Roman" w:eastAsia="仿宋_GB2312" w:cs="Times New Roman"/>
          <w:snapToGrid w:val="0"/>
          <w:kern w:val="0"/>
          <w:sz w:val="28"/>
          <w:szCs w:val="28"/>
        </w:rPr>
        <w:t>，由于建筑物尚可使用年限</w:t>
      </w:r>
      <w:r>
        <w:rPr>
          <w:rFonts w:hint="eastAsia" w:ascii="仿宋_GB2312" w:hAnsi="Times New Roman" w:eastAsia="仿宋_GB2312" w:cs="Times New Roman"/>
          <w:snapToGrid w:val="0"/>
          <w:kern w:val="0"/>
          <w:sz w:val="28"/>
          <w:szCs w:val="28"/>
          <w:lang w:eastAsia="zh-CN"/>
        </w:rPr>
        <w:t>早于</w:t>
      </w:r>
      <w:r>
        <w:rPr>
          <w:rFonts w:hint="eastAsia" w:ascii="仿宋_GB2312" w:hAnsi="Times New Roman" w:eastAsia="仿宋_GB2312" w:cs="Times New Roman"/>
          <w:snapToGrid w:val="0"/>
          <w:kern w:val="0"/>
          <w:sz w:val="28"/>
          <w:szCs w:val="28"/>
        </w:rPr>
        <w:t>土地剩余使用年限结束，</w:t>
      </w:r>
      <w:r>
        <w:rPr>
          <w:rFonts w:hint="eastAsia" w:ascii="仿宋_GB2312" w:eastAsia="仿宋_GB2312" w:cs="Times New Roman"/>
          <w:snapToGrid w:val="0"/>
          <w:kern w:val="0"/>
          <w:sz w:val="28"/>
          <w:szCs w:val="28"/>
          <w:lang w:val="en-US" w:eastAsia="zh-CN"/>
        </w:rPr>
        <w:t>根据孰短原则，</w:t>
      </w:r>
      <w:r>
        <w:rPr>
          <w:rFonts w:hint="eastAsia" w:ascii="仿宋_GB2312" w:hAnsi="Times New Roman" w:eastAsia="仿宋_GB2312" w:cs="Times New Roman"/>
          <w:snapToGrid w:val="0"/>
          <w:kern w:val="0"/>
          <w:sz w:val="28"/>
          <w:szCs w:val="28"/>
        </w:rPr>
        <w:t>故本次收益年期根据估价对象建筑物尚可使用年限确定，即n＝</w:t>
      </w:r>
      <w:r>
        <w:rPr>
          <w:rFonts w:hint="eastAsia" w:ascii="仿宋_GB2312" w:eastAsia="仿宋_GB2312" w:cs="Times New Roman"/>
          <w:snapToGrid w:val="0"/>
          <w:kern w:val="0"/>
          <w:sz w:val="28"/>
          <w:szCs w:val="28"/>
          <w:lang w:val="en-US" w:eastAsia="zh-CN"/>
        </w:rPr>
        <w:t>14.49年</w:t>
      </w:r>
      <w:r>
        <w:rPr>
          <w:rFonts w:hint="eastAsia" w:ascii="仿宋_GB2312" w:hAnsi="Times New Roman" w:eastAsia="仿宋_GB2312" w:cs="Times New Roman"/>
          <w:snapToGrid w:val="0"/>
          <w:kern w:val="0"/>
          <w:sz w:val="28"/>
          <w:szCs w:val="28"/>
        </w:rPr>
        <w:t>。</w:t>
      </w:r>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r>
        <w:rPr>
          <w:rFonts w:hint="eastAsia" w:ascii="仿宋_GB2312" w:hAnsi="Times New Roman" w:eastAsia="仿宋_GB2312" w:cs="Times New Roman"/>
          <w:snapToGrid w:val="0"/>
          <w:kern w:val="0"/>
          <w:sz w:val="28"/>
          <w:szCs w:val="28"/>
        </w:rPr>
        <w:t>⑷净收益变化趋势分析：</w:t>
      </w:r>
    </w:p>
    <w:p>
      <w:pPr>
        <w:tabs>
          <w:tab w:val="left" w:pos="0"/>
        </w:tabs>
        <w:adjustRightInd w:val="0"/>
        <w:snapToGrid w:val="0"/>
        <w:spacing w:line="480" w:lineRule="exact"/>
        <w:ind w:firstLine="480"/>
        <w:rPr>
          <w:rFonts w:hint="default" w:ascii="仿宋_GB2312" w:hAnsi="Times New Roman" w:eastAsia="仿宋_GB2312" w:cs="Times New Roman"/>
          <w:snapToGrid w:val="0"/>
          <w:kern w:val="0"/>
          <w:sz w:val="28"/>
          <w:szCs w:val="28"/>
          <w:lang w:val="en-US" w:eastAsia="zh-CN"/>
        </w:rPr>
      </w:pPr>
      <w:r>
        <w:rPr>
          <w:rFonts w:hint="eastAsia" w:ascii="仿宋_GB2312" w:hAnsi="Times New Roman" w:eastAsia="仿宋_GB2312" w:cs="Times New Roman"/>
          <w:snapToGrid w:val="0"/>
          <w:kern w:val="0"/>
          <w:sz w:val="28"/>
          <w:szCs w:val="28"/>
          <w:lang w:eastAsia="zh-CN"/>
        </w:rPr>
        <w:t>由于租赁《协议书》租赁期至</w:t>
      </w:r>
      <w:r>
        <w:rPr>
          <w:rFonts w:hint="eastAsia" w:ascii="仿宋_GB2312" w:hAnsi="Times New Roman" w:eastAsia="仿宋_GB2312" w:cs="Times New Roman"/>
          <w:snapToGrid w:val="0"/>
          <w:kern w:val="0"/>
          <w:sz w:val="28"/>
          <w:szCs w:val="28"/>
          <w:lang w:val="en-US" w:eastAsia="zh-CN"/>
        </w:rPr>
        <w:t>2039年7月31日止，该时间已超未来可获收益年限，未设定租赁期内递增率，因此该估价对象不考虑年纯收益递增率。</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⑸确定估价对象的客观合理价值</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收益法公式：本次评估采用收益递增的公式。</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P=A/(Y- g) ×[1-（1+g）^n /（Y+1）^n]</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其中 P：收益价格</w:t>
      </w:r>
    </w:p>
    <w:p>
      <w:pPr>
        <w:tabs>
          <w:tab w:val="left" w:pos="0"/>
        </w:tabs>
        <w:adjustRightInd w:val="0"/>
        <w:snapToGrid w:val="0"/>
        <w:spacing w:line="480" w:lineRule="exact"/>
        <w:ind w:firstLine="1142" w:firstLineChars="339"/>
        <w:rPr>
          <w:rFonts w:ascii="仿宋_GB2312" w:eastAsia="仿宋_GB2312"/>
          <w:snapToGrid w:val="0"/>
          <w:kern w:val="0"/>
          <w:sz w:val="28"/>
          <w:szCs w:val="28"/>
        </w:rPr>
      </w:pPr>
      <w:r>
        <w:rPr>
          <w:rFonts w:hint="eastAsia" w:ascii="仿宋_GB2312" w:eastAsia="仿宋_GB2312"/>
          <w:snapToGrid w:val="0"/>
          <w:kern w:val="0"/>
          <w:sz w:val="28"/>
          <w:szCs w:val="28"/>
        </w:rPr>
        <w:t>A: 年净收益</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 xml:space="preserve">     Y：资本化率</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 xml:space="preserve">     g:年收益递增率</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 xml:space="preserve">     n：收益年限</w:t>
      </w:r>
    </w:p>
    <w:p>
      <w:pPr>
        <w:tabs>
          <w:tab w:val="left" w:pos="0"/>
        </w:tabs>
        <w:adjustRightInd w:val="0"/>
        <w:snapToGrid w:val="0"/>
        <w:spacing w:line="480" w:lineRule="exact"/>
        <w:ind w:firstLine="480"/>
        <w:rPr>
          <w:rFonts w:ascii="仿宋_GB2312" w:eastAsia="仿宋_GB2312"/>
          <w:snapToGrid w:val="0"/>
          <w:kern w:val="0"/>
          <w:sz w:val="28"/>
          <w:szCs w:val="28"/>
          <w:highlight w:val="none"/>
        </w:rPr>
      </w:pPr>
      <w:r>
        <w:rPr>
          <w:rFonts w:hint="eastAsia" w:ascii="仿宋_GB2312" w:eastAsia="仿宋_GB2312"/>
          <w:snapToGrid w:val="0"/>
          <w:kern w:val="0"/>
          <w:sz w:val="28"/>
          <w:szCs w:val="28"/>
          <w:highlight w:val="none"/>
        </w:rPr>
        <w:t>P=A/(Y- g) ×[1-（1+g）^n /（Y+1）^n]</w:t>
      </w:r>
    </w:p>
    <w:p>
      <w:pPr>
        <w:tabs>
          <w:tab w:val="left" w:pos="0"/>
        </w:tabs>
        <w:adjustRightInd w:val="0"/>
        <w:snapToGrid w:val="0"/>
        <w:spacing w:line="480" w:lineRule="exact"/>
        <w:ind w:firstLine="480"/>
        <w:rPr>
          <w:rFonts w:ascii="仿宋_GB2312" w:eastAsia="仿宋_GB2312"/>
          <w:snapToGrid w:val="0"/>
          <w:kern w:val="0"/>
          <w:sz w:val="28"/>
          <w:szCs w:val="28"/>
          <w:highlight w:val="none"/>
        </w:rPr>
      </w:pPr>
      <w:r>
        <w:rPr>
          <w:rFonts w:hint="eastAsia" w:ascii="仿宋_GB2312" w:eastAsia="仿宋_GB2312"/>
          <w:snapToGrid w:val="0"/>
          <w:kern w:val="0"/>
          <w:sz w:val="28"/>
          <w:szCs w:val="28"/>
          <w:highlight w:val="none"/>
        </w:rPr>
        <w:t>=</w:t>
      </w:r>
      <w:r>
        <w:rPr>
          <w:rFonts w:hint="eastAsia" w:ascii="仿宋_GB2312" w:eastAsia="仿宋_GB2312"/>
          <w:snapToGrid w:val="0"/>
          <w:kern w:val="0"/>
          <w:sz w:val="28"/>
          <w:szCs w:val="28"/>
          <w:highlight w:val="none"/>
          <w:lang w:val="en-US" w:eastAsia="zh-CN"/>
        </w:rPr>
        <w:t xml:space="preserve">58.38 </w:t>
      </w:r>
      <w:r>
        <w:rPr>
          <w:rFonts w:hint="eastAsia" w:ascii="仿宋_GB2312" w:eastAsia="仿宋_GB2312"/>
          <w:snapToGrid w:val="0"/>
          <w:kern w:val="0"/>
          <w:sz w:val="28"/>
          <w:szCs w:val="28"/>
          <w:highlight w:val="none"/>
        </w:rPr>
        <w:t>/(</w:t>
      </w:r>
      <w:r>
        <w:rPr>
          <w:rFonts w:hint="eastAsia" w:ascii="仿宋_GB2312" w:eastAsia="仿宋_GB2312"/>
          <w:snapToGrid w:val="0"/>
          <w:kern w:val="0"/>
          <w:sz w:val="28"/>
          <w:szCs w:val="28"/>
          <w:highlight w:val="none"/>
          <w:lang w:val="en-US" w:eastAsia="zh-CN"/>
        </w:rPr>
        <w:t>4.2</w:t>
      </w:r>
      <w:r>
        <w:rPr>
          <w:rFonts w:hint="eastAsia" w:ascii="仿宋_GB2312" w:eastAsia="仿宋_GB2312"/>
          <w:snapToGrid w:val="0"/>
          <w:kern w:val="0"/>
          <w:sz w:val="28"/>
          <w:szCs w:val="28"/>
          <w:highlight w:val="none"/>
        </w:rPr>
        <w:t>%-</w:t>
      </w:r>
      <w:r>
        <w:rPr>
          <w:rFonts w:hint="eastAsia" w:ascii="仿宋_GB2312" w:eastAsia="仿宋_GB2312"/>
          <w:snapToGrid w:val="0"/>
          <w:kern w:val="0"/>
          <w:sz w:val="28"/>
          <w:szCs w:val="28"/>
          <w:highlight w:val="none"/>
          <w:lang w:val="en-US" w:eastAsia="zh-CN"/>
        </w:rPr>
        <w:t>0.00</w:t>
      </w:r>
      <w:r>
        <w:rPr>
          <w:rFonts w:hint="eastAsia" w:ascii="仿宋_GB2312" w:eastAsia="仿宋_GB2312"/>
          <w:snapToGrid w:val="0"/>
          <w:kern w:val="0"/>
          <w:sz w:val="28"/>
          <w:szCs w:val="28"/>
          <w:highlight w:val="none"/>
        </w:rPr>
        <w:t>%) ×[1-（1+</w:t>
      </w:r>
      <w:r>
        <w:rPr>
          <w:rFonts w:hint="eastAsia" w:ascii="仿宋_GB2312" w:eastAsia="仿宋_GB2312"/>
          <w:snapToGrid w:val="0"/>
          <w:kern w:val="0"/>
          <w:sz w:val="28"/>
          <w:szCs w:val="28"/>
          <w:highlight w:val="none"/>
          <w:lang w:val="en-US" w:eastAsia="zh-CN"/>
        </w:rPr>
        <w:t>0.00</w:t>
      </w:r>
      <w:r>
        <w:rPr>
          <w:rFonts w:hint="eastAsia" w:ascii="仿宋_GB2312" w:eastAsia="仿宋_GB2312"/>
          <w:snapToGrid w:val="0"/>
          <w:kern w:val="0"/>
          <w:sz w:val="28"/>
          <w:szCs w:val="28"/>
          <w:highlight w:val="none"/>
        </w:rPr>
        <w:t>%）^</w:t>
      </w:r>
      <w:r>
        <w:rPr>
          <w:rFonts w:hint="eastAsia" w:ascii="仿宋_GB2312" w:eastAsia="仿宋_GB2312"/>
          <w:snapToGrid w:val="0"/>
          <w:kern w:val="0"/>
          <w:sz w:val="28"/>
          <w:szCs w:val="28"/>
          <w:highlight w:val="none"/>
          <w:lang w:val="en-US" w:eastAsia="zh-CN"/>
        </w:rPr>
        <w:t>14.49</w:t>
      </w:r>
      <w:r>
        <w:rPr>
          <w:rFonts w:hint="eastAsia" w:ascii="仿宋_GB2312" w:eastAsia="仿宋_GB2312"/>
          <w:snapToGrid w:val="0"/>
          <w:kern w:val="0"/>
          <w:sz w:val="28"/>
          <w:szCs w:val="28"/>
          <w:highlight w:val="none"/>
        </w:rPr>
        <w:t>/（</w:t>
      </w:r>
      <w:r>
        <w:rPr>
          <w:rFonts w:hint="eastAsia" w:ascii="仿宋_GB2312" w:eastAsia="仿宋_GB2312"/>
          <w:snapToGrid w:val="0"/>
          <w:kern w:val="0"/>
          <w:sz w:val="28"/>
          <w:szCs w:val="28"/>
          <w:highlight w:val="none"/>
          <w:lang w:val="en-US" w:eastAsia="zh-CN"/>
        </w:rPr>
        <w:t>4.2</w:t>
      </w:r>
      <w:r>
        <w:rPr>
          <w:rFonts w:hint="eastAsia" w:ascii="仿宋_GB2312" w:eastAsia="仿宋_GB2312"/>
          <w:snapToGrid w:val="0"/>
          <w:kern w:val="0"/>
          <w:sz w:val="28"/>
          <w:szCs w:val="28"/>
          <w:highlight w:val="none"/>
        </w:rPr>
        <w:t>%</w:t>
      </w:r>
      <w:r>
        <w:rPr>
          <w:rFonts w:hint="eastAsia" w:ascii="仿宋_GB2312" w:eastAsia="仿宋_GB2312"/>
          <w:snapToGrid w:val="0"/>
          <w:kern w:val="0"/>
          <w:sz w:val="28"/>
          <w:szCs w:val="28"/>
          <w:highlight w:val="none"/>
          <w:lang w:val="en-US" w:eastAsia="zh-CN"/>
        </w:rPr>
        <w:t>+</w:t>
      </w:r>
      <w:r>
        <w:rPr>
          <w:rFonts w:hint="eastAsia" w:ascii="仿宋_GB2312" w:eastAsia="仿宋_GB2312"/>
          <w:snapToGrid w:val="0"/>
          <w:kern w:val="0"/>
          <w:sz w:val="28"/>
          <w:szCs w:val="28"/>
          <w:highlight w:val="none"/>
        </w:rPr>
        <w:t>1）^</w:t>
      </w:r>
      <w:r>
        <w:rPr>
          <w:rFonts w:hint="eastAsia" w:ascii="仿宋_GB2312" w:eastAsia="仿宋_GB2312"/>
          <w:snapToGrid w:val="0"/>
          <w:kern w:val="0"/>
          <w:sz w:val="28"/>
          <w:szCs w:val="28"/>
          <w:highlight w:val="none"/>
          <w:lang w:val="en-US" w:eastAsia="zh-CN"/>
        </w:rPr>
        <w:t>14.49</w:t>
      </w:r>
      <w:r>
        <w:rPr>
          <w:rFonts w:hint="eastAsia" w:ascii="仿宋_GB2312" w:eastAsia="仿宋_GB2312"/>
          <w:snapToGrid w:val="0"/>
          <w:kern w:val="0"/>
          <w:sz w:val="28"/>
          <w:szCs w:val="28"/>
          <w:highlight w:val="none"/>
        </w:rPr>
        <w:t>]</w:t>
      </w:r>
    </w:p>
    <w:p>
      <w:pPr>
        <w:tabs>
          <w:tab w:val="left" w:pos="0"/>
        </w:tabs>
        <w:adjustRightInd w:val="0"/>
        <w:snapToGrid w:val="0"/>
        <w:spacing w:line="480" w:lineRule="exact"/>
        <w:ind w:firstLine="480"/>
        <w:rPr>
          <w:rFonts w:hint="eastAsia" w:ascii="仿宋_GB2312" w:eastAsia="仿宋_GB2312"/>
          <w:snapToGrid w:val="0"/>
          <w:color w:val="auto"/>
          <w:kern w:val="0"/>
          <w:sz w:val="28"/>
          <w:szCs w:val="28"/>
          <w:highlight w:val="none"/>
        </w:rPr>
      </w:pPr>
      <w:r>
        <w:rPr>
          <w:rFonts w:hint="eastAsia" w:ascii="仿宋_GB2312" w:eastAsia="仿宋_GB2312"/>
          <w:snapToGrid w:val="0"/>
          <w:color w:val="auto"/>
          <w:kern w:val="0"/>
          <w:sz w:val="28"/>
          <w:szCs w:val="28"/>
          <w:highlight w:val="none"/>
        </w:rPr>
        <w:t>=</w:t>
      </w:r>
      <w:r>
        <w:rPr>
          <w:rFonts w:hint="eastAsia" w:ascii="仿宋_GB2312" w:eastAsia="仿宋_GB2312"/>
          <w:snapToGrid w:val="0"/>
          <w:color w:val="auto"/>
          <w:kern w:val="0"/>
          <w:sz w:val="28"/>
          <w:szCs w:val="28"/>
          <w:highlight w:val="none"/>
          <w:lang w:val="en-US" w:eastAsia="zh-CN"/>
        </w:rPr>
        <w:t>620</w:t>
      </w:r>
      <w:r>
        <w:rPr>
          <w:rFonts w:hint="eastAsia" w:ascii="仿宋_GB2312" w:eastAsia="仿宋_GB2312"/>
          <w:snapToGrid w:val="0"/>
          <w:color w:val="auto"/>
          <w:kern w:val="0"/>
          <w:sz w:val="28"/>
          <w:szCs w:val="28"/>
          <w:highlight w:val="none"/>
        </w:rPr>
        <w:t>元/平方米（取整至</w:t>
      </w:r>
      <w:r>
        <w:rPr>
          <w:rFonts w:hint="eastAsia" w:ascii="仿宋_GB2312" w:eastAsia="仿宋_GB2312"/>
          <w:snapToGrid w:val="0"/>
          <w:color w:val="auto"/>
          <w:kern w:val="0"/>
          <w:sz w:val="28"/>
          <w:szCs w:val="28"/>
          <w:highlight w:val="none"/>
          <w:lang w:val="en-US" w:eastAsia="zh-CN"/>
        </w:rPr>
        <w:t>十</w:t>
      </w:r>
      <w:r>
        <w:rPr>
          <w:rFonts w:hint="eastAsia" w:ascii="仿宋_GB2312" w:eastAsia="仿宋_GB2312"/>
          <w:snapToGrid w:val="0"/>
          <w:color w:val="auto"/>
          <w:kern w:val="0"/>
          <w:sz w:val="28"/>
          <w:szCs w:val="28"/>
          <w:highlight w:val="none"/>
        </w:rPr>
        <w:t>位）</w:t>
      </w:r>
    </w:p>
    <w:p>
      <w:pPr>
        <w:tabs>
          <w:tab w:val="left" w:pos="0"/>
        </w:tabs>
        <w:adjustRightInd w:val="0"/>
        <w:snapToGrid w:val="0"/>
        <w:spacing w:line="480" w:lineRule="exact"/>
        <w:ind w:firstLine="480"/>
        <w:rPr>
          <w:rFonts w:hint="eastAsia"/>
          <w:color w:val="auto"/>
          <w:highlight w:val="none"/>
          <w:lang w:val="en-US" w:eastAsia="zh-CN"/>
        </w:rPr>
      </w:pPr>
      <w:r>
        <w:rPr>
          <w:rFonts w:hint="eastAsia" w:ascii="仿宋_GB2312" w:hAnsi="Times New Roman" w:eastAsia="仿宋_GB2312" w:cs="Times New Roman"/>
          <w:snapToGrid w:val="0"/>
          <w:color w:val="auto"/>
          <w:kern w:val="0"/>
          <w:sz w:val="28"/>
          <w:szCs w:val="28"/>
          <w:highlight w:val="none"/>
          <w:lang w:val="en-US" w:eastAsia="zh-CN"/>
        </w:rPr>
        <w:t>经现场勘察，现状为酒店装修，</w:t>
      </w:r>
      <w:r>
        <w:rPr>
          <w:rFonts w:hint="eastAsia" w:ascii="仿宋_GB2312" w:hAnsi="Times New Roman" w:eastAsia="仿宋_GB2312" w:cs="Times New Roman"/>
          <w:snapToGrid w:val="0"/>
          <w:color w:val="auto"/>
          <w:kern w:val="0"/>
          <w:sz w:val="28"/>
          <w:szCs w:val="28"/>
          <w:highlight w:val="none"/>
          <w:lang w:eastAsia="zh-CN"/>
        </w:rPr>
        <w:t>根据委托方提供的</w:t>
      </w:r>
      <w:r>
        <w:rPr>
          <w:rFonts w:hint="default" w:ascii="仿宋_GB2312" w:hAnsi="Times New Roman" w:eastAsia="仿宋_GB2312" w:cs="Times New Roman"/>
          <w:snapToGrid w:val="0"/>
          <w:color w:val="auto"/>
          <w:kern w:val="0"/>
          <w:sz w:val="28"/>
          <w:szCs w:val="28"/>
          <w:highlight w:val="none"/>
          <w:lang w:val="en-US" w:eastAsia="zh-CN"/>
        </w:rPr>
        <w:t>装饰装修承包合同</w:t>
      </w:r>
      <w:r>
        <w:rPr>
          <w:rFonts w:hint="eastAsia" w:ascii="仿宋_GB2312" w:eastAsia="仿宋_GB2312" w:cs="Times New Roman"/>
          <w:snapToGrid w:val="0"/>
          <w:color w:val="auto"/>
          <w:kern w:val="0"/>
          <w:sz w:val="28"/>
          <w:szCs w:val="28"/>
          <w:highlight w:val="none"/>
          <w:lang w:val="en-US" w:eastAsia="zh-CN"/>
        </w:rPr>
        <w:t>、</w:t>
      </w:r>
      <w:r>
        <w:rPr>
          <w:rFonts w:hint="eastAsia" w:ascii="仿宋_GB2312" w:hAnsi="Times New Roman" w:eastAsia="仿宋_GB2312" w:cs="Times New Roman"/>
          <w:snapToGrid w:val="0"/>
          <w:color w:val="auto"/>
          <w:kern w:val="0"/>
          <w:sz w:val="28"/>
          <w:szCs w:val="28"/>
          <w:highlight w:val="none"/>
          <w:lang w:val="en-US" w:eastAsia="zh-CN"/>
        </w:rPr>
        <w:t>结算</w:t>
      </w:r>
      <w:r>
        <w:rPr>
          <w:rFonts w:hint="eastAsia" w:ascii="仿宋_GB2312" w:eastAsia="仿宋_GB2312" w:cs="Times New Roman"/>
          <w:snapToGrid w:val="0"/>
          <w:color w:val="auto"/>
          <w:kern w:val="0"/>
          <w:sz w:val="28"/>
          <w:szCs w:val="28"/>
          <w:highlight w:val="none"/>
          <w:lang w:val="en-US" w:eastAsia="zh-CN"/>
        </w:rPr>
        <w:t>以及工程造价</w:t>
      </w:r>
      <w:r>
        <w:rPr>
          <w:rFonts w:hint="eastAsia" w:ascii="仿宋_GB2312" w:hAnsi="Times New Roman" w:eastAsia="仿宋_GB2312" w:cs="Times New Roman"/>
          <w:snapToGrid w:val="0"/>
          <w:color w:val="auto"/>
          <w:kern w:val="0"/>
          <w:sz w:val="28"/>
          <w:szCs w:val="28"/>
          <w:highlight w:val="none"/>
          <w:lang w:val="en-US" w:eastAsia="zh-CN"/>
        </w:rPr>
        <w:t>相关资料</w:t>
      </w:r>
      <w:r>
        <w:rPr>
          <w:rFonts w:hint="eastAsia" w:ascii="仿宋_GB2312" w:eastAsia="仿宋_GB2312" w:cs="Times New Roman"/>
          <w:snapToGrid w:val="0"/>
          <w:color w:val="auto"/>
          <w:kern w:val="0"/>
          <w:sz w:val="28"/>
          <w:szCs w:val="28"/>
          <w:highlight w:val="none"/>
          <w:lang w:val="en-US" w:eastAsia="zh-CN"/>
        </w:rPr>
        <w:t>，</w:t>
      </w:r>
      <w:r>
        <w:rPr>
          <w:rFonts w:hint="eastAsia" w:ascii="仿宋_GB2312" w:hAnsi="Times New Roman" w:eastAsia="仿宋_GB2312" w:cs="Times New Roman"/>
          <w:snapToGrid w:val="0"/>
          <w:color w:val="auto"/>
          <w:kern w:val="0"/>
          <w:sz w:val="28"/>
          <w:szCs w:val="28"/>
          <w:highlight w:val="none"/>
          <w:lang w:val="en-US" w:eastAsia="zh-CN"/>
        </w:rPr>
        <w:t>估价对象</w:t>
      </w:r>
      <w:r>
        <w:rPr>
          <w:rFonts w:hint="eastAsia" w:ascii="仿宋_GB2312" w:eastAsia="仿宋_GB2312" w:cs="Times New Roman"/>
          <w:snapToGrid w:val="0"/>
          <w:color w:val="auto"/>
          <w:kern w:val="0"/>
          <w:sz w:val="28"/>
          <w:szCs w:val="28"/>
          <w:highlight w:val="none"/>
          <w:lang w:val="en-US" w:eastAsia="zh-CN"/>
        </w:rPr>
        <w:t>于2020年完成装修</w:t>
      </w:r>
      <w:r>
        <w:rPr>
          <w:rFonts w:hint="eastAsia" w:ascii="仿宋_GB2312" w:hAnsi="Times New Roman" w:eastAsia="仿宋_GB2312" w:cs="Times New Roman"/>
          <w:snapToGrid w:val="0"/>
          <w:color w:val="auto"/>
          <w:kern w:val="0"/>
          <w:sz w:val="28"/>
          <w:szCs w:val="28"/>
          <w:highlight w:val="none"/>
          <w:lang w:val="en-US" w:eastAsia="zh-CN"/>
        </w:rPr>
        <w:t>，</w:t>
      </w:r>
      <w:r>
        <w:rPr>
          <w:rFonts w:hint="eastAsia" w:ascii="仿宋_GB2312" w:eastAsia="仿宋_GB2312" w:cs="Times New Roman"/>
          <w:snapToGrid w:val="0"/>
          <w:color w:val="auto"/>
          <w:kern w:val="0"/>
          <w:sz w:val="28"/>
          <w:szCs w:val="28"/>
          <w:highlight w:val="none"/>
          <w:lang w:val="en-US" w:eastAsia="zh-CN"/>
        </w:rPr>
        <w:t>成新度约为70%，装修单价</w:t>
      </w:r>
      <w:r>
        <w:rPr>
          <w:rFonts w:hint="eastAsia" w:ascii="仿宋_GB2312" w:hAnsi="Times New Roman" w:eastAsia="仿宋_GB2312" w:cs="Times New Roman"/>
          <w:snapToGrid w:val="0"/>
          <w:color w:val="auto"/>
          <w:kern w:val="0"/>
          <w:sz w:val="28"/>
          <w:szCs w:val="28"/>
          <w:highlight w:val="none"/>
          <w:lang w:val="en-US" w:eastAsia="zh-CN"/>
        </w:rPr>
        <w:t>为</w:t>
      </w:r>
      <w:r>
        <w:rPr>
          <w:rFonts w:hint="eastAsia" w:ascii="仿宋_GB2312" w:eastAsia="仿宋_GB2312" w:cs="Times New Roman"/>
          <w:snapToGrid w:val="0"/>
          <w:color w:val="auto"/>
          <w:kern w:val="0"/>
          <w:sz w:val="28"/>
          <w:szCs w:val="28"/>
          <w:highlight w:val="none"/>
          <w:lang w:val="en-US" w:eastAsia="zh-CN"/>
        </w:rPr>
        <w:t>1050</w:t>
      </w:r>
      <w:r>
        <w:rPr>
          <w:rFonts w:hint="eastAsia" w:ascii="仿宋_GB2312" w:hAnsi="Times New Roman" w:eastAsia="仿宋_GB2312" w:cs="Times New Roman"/>
          <w:snapToGrid w:val="0"/>
          <w:color w:val="auto"/>
          <w:kern w:val="0"/>
          <w:sz w:val="28"/>
          <w:szCs w:val="28"/>
          <w:highlight w:val="none"/>
          <w:lang w:val="en-US" w:eastAsia="zh-CN"/>
        </w:rPr>
        <w:t>元/㎡</w:t>
      </w:r>
      <w:r>
        <w:rPr>
          <w:rFonts w:hint="eastAsia" w:ascii="仿宋_GB2312" w:eastAsia="仿宋_GB2312" w:cs="Times New Roman"/>
          <w:snapToGrid w:val="0"/>
          <w:color w:val="auto"/>
          <w:kern w:val="0"/>
          <w:sz w:val="28"/>
          <w:szCs w:val="28"/>
          <w:highlight w:val="none"/>
          <w:lang w:val="en-US" w:eastAsia="zh-CN"/>
        </w:rPr>
        <w:t>计。</w:t>
      </w:r>
    </w:p>
    <w:p>
      <w:pPr>
        <w:tabs>
          <w:tab w:val="left" w:pos="0"/>
        </w:tabs>
        <w:adjustRightInd w:val="0"/>
        <w:snapToGrid w:val="0"/>
        <w:spacing w:line="480" w:lineRule="exact"/>
        <w:ind w:firstLine="480"/>
        <w:rPr>
          <w:rFonts w:hint="default" w:ascii="仿宋_GB2312" w:hAnsi="Times New Roman" w:eastAsia="仿宋_GB2312" w:cs="Times New Roman"/>
          <w:snapToGrid w:val="0"/>
          <w:color w:val="auto"/>
          <w:kern w:val="0"/>
          <w:sz w:val="28"/>
          <w:szCs w:val="28"/>
          <w:highlight w:val="none"/>
          <w:lang w:val="en-US" w:eastAsia="zh-CN"/>
        </w:rPr>
      </w:pPr>
      <w:r>
        <w:rPr>
          <w:rFonts w:hint="eastAsia" w:ascii="仿宋_GB2312" w:eastAsia="仿宋_GB2312" w:cs="Times New Roman"/>
          <w:snapToGrid w:val="0"/>
          <w:color w:val="auto"/>
          <w:kern w:val="0"/>
          <w:sz w:val="28"/>
          <w:szCs w:val="28"/>
          <w:highlight w:val="none"/>
          <w:lang w:eastAsia="zh-CN"/>
        </w:rPr>
        <w:t>现状</w:t>
      </w:r>
      <w:r>
        <w:rPr>
          <w:rFonts w:hint="eastAsia" w:ascii="仿宋_GB2312" w:hAnsi="Times New Roman" w:eastAsia="仿宋_GB2312" w:cs="Times New Roman"/>
          <w:snapToGrid w:val="0"/>
          <w:color w:val="auto"/>
          <w:kern w:val="0"/>
          <w:sz w:val="28"/>
          <w:szCs w:val="28"/>
          <w:highlight w:val="none"/>
        </w:rPr>
        <w:t>房地产单价 =</w:t>
      </w:r>
      <w:r>
        <w:rPr>
          <w:rFonts w:hint="eastAsia" w:ascii="仿宋_GB2312" w:eastAsia="仿宋_GB2312" w:cs="Times New Roman"/>
          <w:snapToGrid w:val="0"/>
          <w:color w:val="auto"/>
          <w:kern w:val="0"/>
          <w:sz w:val="28"/>
          <w:szCs w:val="28"/>
          <w:highlight w:val="none"/>
          <w:lang w:eastAsia="zh-CN"/>
        </w:rPr>
        <w:t>法定用途房地产</w:t>
      </w:r>
      <w:r>
        <w:rPr>
          <w:rFonts w:hint="eastAsia" w:ascii="仿宋_GB2312" w:eastAsia="仿宋_GB2312" w:cs="Times New Roman"/>
          <w:snapToGrid w:val="0"/>
          <w:color w:val="auto"/>
          <w:kern w:val="0"/>
          <w:sz w:val="28"/>
          <w:szCs w:val="28"/>
          <w:highlight w:val="none"/>
          <w:lang w:val="en-US" w:eastAsia="zh-CN"/>
        </w:rPr>
        <w:t>单价+装修单价</w:t>
      </w:r>
    </w:p>
    <w:p>
      <w:pPr>
        <w:tabs>
          <w:tab w:val="left" w:pos="0"/>
        </w:tabs>
        <w:adjustRightInd w:val="0"/>
        <w:snapToGrid w:val="0"/>
        <w:spacing w:line="480" w:lineRule="exact"/>
        <w:ind w:firstLine="2022" w:firstLineChars="600"/>
        <w:rPr>
          <w:rFonts w:hint="eastAsia" w:ascii="仿宋_GB2312" w:eastAsia="仿宋_GB2312" w:cs="Times New Roman"/>
          <w:snapToGrid w:val="0"/>
          <w:color w:val="auto"/>
          <w:kern w:val="0"/>
          <w:sz w:val="28"/>
          <w:szCs w:val="28"/>
          <w:highlight w:val="none"/>
          <w:lang w:val="en-US" w:eastAsia="zh-CN"/>
        </w:rPr>
      </w:pPr>
      <w:r>
        <w:rPr>
          <w:rFonts w:hint="eastAsia" w:ascii="仿宋_GB2312" w:hAnsi="Times New Roman" w:eastAsia="仿宋_GB2312" w:cs="Times New Roman"/>
          <w:snapToGrid w:val="0"/>
          <w:color w:val="auto"/>
          <w:kern w:val="0"/>
          <w:sz w:val="28"/>
          <w:szCs w:val="28"/>
          <w:highlight w:val="none"/>
        </w:rPr>
        <w:t>=</w:t>
      </w:r>
      <w:r>
        <w:rPr>
          <w:rFonts w:hint="eastAsia" w:ascii="仿宋_GB2312" w:eastAsia="仿宋_GB2312" w:cs="Times New Roman"/>
          <w:snapToGrid w:val="0"/>
          <w:color w:val="auto"/>
          <w:kern w:val="0"/>
          <w:sz w:val="28"/>
          <w:szCs w:val="28"/>
          <w:highlight w:val="none"/>
          <w:lang w:val="en-US" w:eastAsia="zh-CN"/>
        </w:rPr>
        <w:t>620</w:t>
      </w:r>
      <w:r>
        <w:rPr>
          <w:rFonts w:hint="eastAsia" w:ascii="仿宋_GB2312" w:hAnsi="Times New Roman" w:eastAsia="仿宋_GB2312" w:cs="Times New Roman"/>
          <w:snapToGrid w:val="0"/>
          <w:color w:val="auto"/>
          <w:kern w:val="0"/>
          <w:sz w:val="28"/>
          <w:szCs w:val="28"/>
          <w:highlight w:val="none"/>
        </w:rPr>
        <w:t>元/平方米</w:t>
      </w:r>
      <w:r>
        <w:rPr>
          <w:rFonts w:hint="eastAsia" w:ascii="仿宋_GB2312" w:eastAsia="仿宋_GB2312" w:cs="Times New Roman"/>
          <w:snapToGrid w:val="0"/>
          <w:color w:val="auto"/>
          <w:kern w:val="0"/>
          <w:sz w:val="28"/>
          <w:szCs w:val="28"/>
          <w:highlight w:val="none"/>
          <w:lang w:val="en-US" w:eastAsia="zh-CN"/>
        </w:rPr>
        <w:t>+1050</w:t>
      </w:r>
      <w:r>
        <w:rPr>
          <w:rFonts w:hint="eastAsia" w:ascii="仿宋_GB2312" w:hAnsi="Times New Roman" w:eastAsia="仿宋_GB2312" w:cs="Times New Roman"/>
          <w:snapToGrid w:val="0"/>
          <w:color w:val="auto"/>
          <w:kern w:val="0"/>
          <w:sz w:val="28"/>
          <w:szCs w:val="28"/>
          <w:highlight w:val="none"/>
        </w:rPr>
        <w:t>元/平方米</w:t>
      </w:r>
    </w:p>
    <w:p>
      <w:pPr>
        <w:tabs>
          <w:tab w:val="left" w:pos="0"/>
        </w:tabs>
        <w:adjustRightInd w:val="0"/>
        <w:snapToGrid w:val="0"/>
        <w:spacing w:line="480" w:lineRule="exact"/>
        <w:ind w:firstLine="2022" w:firstLineChars="600"/>
        <w:rPr>
          <w:rFonts w:hint="eastAsia" w:ascii="仿宋_GB2312" w:hAnsi="Times New Roman" w:eastAsia="仿宋_GB2312" w:cs="Times New Roman"/>
          <w:snapToGrid w:val="0"/>
          <w:color w:val="auto"/>
          <w:kern w:val="0"/>
          <w:sz w:val="28"/>
          <w:szCs w:val="28"/>
          <w:highlight w:val="none"/>
        </w:rPr>
      </w:pPr>
      <w:r>
        <w:rPr>
          <w:rFonts w:hint="eastAsia" w:ascii="仿宋_GB2312" w:eastAsia="仿宋_GB2312" w:cs="Times New Roman"/>
          <w:snapToGrid w:val="0"/>
          <w:color w:val="auto"/>
          <w:kern w:val="0"/>
          <w:sz w:val="28"/>
          <w:szCs w:val="28"/>
          <w:highlight w:val="none"/>
          <w:lang w:val="en-US" w:eastAsia="zh-CN"/>
        </w:rPr>
        <w:t>=1700</w:t>
      </w:r>
      <w:r>
        <w:rPr>
          <w:rFonts w:hint="eastAsia" w:ascii="仿宋_GB2312" w:hAnsi="Times New Roman" w:eastAsia="仿宋_GB2312" w:cs="Times New Roman"/>
          <w:snapToGrid w:val="0"/>
          <w:color w:val="auto"/>
          <w:kern w:val="0"/>
          <w:sz w:val="28"/>
          <w:szCs w:val="28"/>
          <w:highlight w:val="none"/>
        </w:rPr>
        <w:t>元/平方米（取整至</w:t>
      </w:r>
      <w:r>
        <w:rPr>
          <w:rFonts w:hint="eastAsia" w:ascii="仿宋_GB2312" w:eastAsia="仿宋_GB2312" w:cs="Times New Roman"/>
          <w:snapToGrid w:val="0"/>
          <w:color w:val="auto"/>
          <w:kern w:val="0"/>
          <w:sz w:val="28"/>
          <w:szCs w:val="28"/>
          <w:highlight w:val="none"/>
          <w:lang w:val="en-US" w:eastAsia="zh-CN"/>
        </w:rPr>
        <w:t>百</w:t>
      </w:r>
      <w:r>
        <w:rPr>
          <w:rFonts w:hint="eastAsia" w:ascii="仿宋_GB2312" w:hAnsi="Times New Roman" w:eastAsia="仿宋_GB2312" w:cs="Times New Roman"/>
          <w:snapToGrid w:val="0"/>
          <w:color w:val="auto"/>
          <w:kern w:val="0"/>
          <w:sz w:val="28"/>
          <w:szCs w:val="28"/>
          <w:highlight w:val="none"/>
        </w:rPr>
        <w:t>位）</w:t>
      </w:r>
    </w:p>
    <w:p>
      <w:pPr>
        <w:tabs>
          <w:tab w:val="left" w:pos="0"/>
        </w:tabs>
        <w:adjustRightInd w:val="0"/>
        <w:snapToGrid w:val="0"/>
        <w:spacing w:line="480" w:lineRule="exact"/>
        <w:ind w:firstLine="480"/>
        <w:rPr>
          <w:rFonts w:hint="eastAsia" w:ascii="仿宋_GB2312" w:hAnsi="Times New Roman" w:eastAsia="仿宋_GB2312" w:cs="Times New Roman"/>
          <w:snapToGrid w:val="0"/>
          <w:color w:val="auto"/>
          <w:kern w:val="0"/>
          <w:sz w:val="28"/>
          <w:szCs w:val="28"/>
          <w:highlight w:val="none"/>
        </w:rPr>
      </w:pPr>
      <w:r>
        <w:rPr>
          <w:rFonts w:hint="eastAsia" w:ascii="仿宋_GB2312" w:hAnsi="Times New Roman" w:eastAsia="仿宋_GB2312" w:cs="Times New Roman"/>
          <w:snapToGrid w:val="0"/>
          <w:color w:val="auto"/>
          <w:kern w:val="0"/>
          <w:sz w:val="28"/>
          <w:szCs w:val="28"/>
          <w:highlight w:val="none"/>
        </w:rPr>
        <w:t>房地产总价=</w:t>
      </w:r>
      <w:r>
        <w:rPr>
          <w:rFonts w:hint="eastAsia" w:ascii="仿宋_GB2312" w:eastAsia="仿宋_GB2312" w:cs="Times New Roman"/>
          <w:snapToGrid w:val="0"/>
          <w:color w:val="auto"/>
          <w:kern w:val="0"/>
          <w:sz w:val="28"/>
          <w:szCs w:val="28"/>
          <w:highlight w:val="none"/>
          <w:lang w:val="en-US" w:eastAsia="zh-CN"/>
        </w:rPr>
        <w:t>1700</w:t>
      </w:r>
      <w:r>
        <w:rPr>
          <w:rFonts w:hint="eastAsia" w:ascii="仿宋_GB2312" w:hAnsi="Times New Roman" w:eastAsia="仿宋_GB2312" w:cs="Times New Roman"/>
          <w:snapToGrid w:val="0"/>
          <w:color w:val="auto"/>
          <w:kern w:val="0"/>
          <w:sz w:val="28"/>
          <w:szCs w:val="28"/>
          <w:highlight w:val="none"/>
        </w:rPr>
        <w:t>×</w:t>
      </w:r>
      <w:r>
        <w:rPr>
          <w:rFonts w:hint="eastAsia" w:ascii="仿宋_GB2312" w:eastAsia="仿宋_GB2312" w:cs="Times New Roman"/>
          <w:snapToGrid w:val="0"/>
          <w:color w:val="auto"/>
          <w:kern w:val="0"/>
          <w:sz w:val="28"/>
          <w:szCs w:val="28"/>
          <w:highlight w:val="none"/>
          <w:lang w:val="en-US" w:eastAsia="zh-CN"/>
        </w:rPr>
        <w:t>1953.7</w:t>
      </w:r>
      <w:r>
        <w:rPr>
          <w:rFonts w:hint="eastAsia" w:ascii="仿宋_GB2312" w:hAnsi="Times New Roman" w:eastAsia="仿宋_GB2312" w:cs="Times New Roman"/>
          <w:snapToGrid w:val="0"/>
          <w:color w:val="auto"/>
          <w:kern w:val="0"/>
          <w:sz w:val="28"/>
          <w:szCs w:val="28"/>
          <w:highlight w:val="none"/>
        </w:rPr>
        <w:t>÷10000</w:t>
      </w:r>
    </w:p>
    <w:p>
      <w:pPr>
        <w:tabs>
          <w:tab w:val="left" w:pos="0"/>
        </w:tabs>
        <w:adjustRightInd w:val="0"/>
        <w:snapToGrid w:val="0"/>
        <w:spacing w:line="480" w:lineRule="exact"/>
        <w:ind w:firstLine="480"/>
        <w:rPr>
          <w:rFonts w:hint="eastAsia" w:ascii="仿宋_GB2312" w:hAnsi="Times New Roman" w:eastAsia="仿宋_GB2312" w:cs="Times New Roman"/>
          <w:snapToGrid w:val="0"/>
          <w:color w:val="auto"/>
          <w:kern w:val="0"/>
          <w:sz w:val="28"/>
          <w:szCs w:val="28"/>
          <w:highlight w:val="none"/>
        </w:rPr>
      </w:pPr>
      <w:r>
        <w:rPr>
          <w:rFonts w:hint="eastAsia" w:ascii="仿宋_GB2312" w:hAnsi="Times New Roman" w:eastAsia="仿宋_GB2312" w:cs="Times New Roman"/>
          <w:snapToGrid w:val="0"/>
          <w:color w:val="auto"/>
          <w:kern w:val="0"/>
          <w:sz w:val="28"/>
          <w:szCs w:val="28"/>
          <w:highlight w:val="none"/>
        </w:rPr>
        <w:t xml:space="preserve"> </w:t>
      </w:r>
      <w:r>
        <w:rPr>
          <w:rFonts w:hint="eastAsia" w:ascii="仿宋_GB2312" w:hAnsi="Times New Roman" w:eastAsia="仿宋_GB2312" w:cs="Times New Roman"/>
          <w:snapToGrid w:val="0"/>
          <w:color w:val="auto"/>
          <w:kern w:val="0"/>
          <w:sz w:val="28"/>
          <w:szCs w:val="28"/>
          <w:highlight w:val="none"/>
          <w:lang w:val="en-US" w:eastAsia="zh-CN"/>
        </w:rPr>
        <w:t xml:space="preserve">         </w:t>
      </w:r>
      <w:r>
        <w:rPr>
          <w:rFonts w:hint="eastAsia" w:ascii="仿宋_GB2312" w:hAnsi="Times New Roman" w:eastAsia="仿宋_GB2312" w:cs="Times New Roman"/>
          <w:snapToGrid w:val="0"/>
          <w:color w:val="auto"/>
          <w:kern w:val="0"/>
          <w:sz w:val="28"/>
          <w:szCs w:val="28"/>
          <w:highlight w:val="none"/>
        </w:rPr>
        <w:t>=</w:t>
      </w:r>
      <w:r>
        <w:rPr>
          <w:rFonts w:hint="eastAsia" w:ascii="仿宋_GB2312" w:eastAsia="仿宋_GB2312" w:cs="Times New Roman"/>
          <w:snapToGrid w:val="0"/>
          <w:color w:val="auto"/>
          <w:kern w:val="0"/>
          <w:sz w:val="28"/>
          <w:szCs w:val="28"/>
          <w:highlight w:val="none"/>
          <w:lang w:val="en-US" w:eastAsia="zh-CN"/>
        </w:rPr>
        <w:t>332.13</w:t>
      </w:r>
      <w:r>
        <w:rPr>
          <w:rFonts w:hint="eastAsia" w:ascii="仿宋_GB2312" w:hAnsi="Times New Roman" w:eastAsia="仿宋_GB2312" w:cs="Times New Roman"/>
          <w:snapToGrid w:val="0"/>
          <w:color w:val="auto"/>
          <w:kern w:val="0"/>
          <w:sz w:val="28"/>
          <w:szCs w:val="28"/>
          <w:highlight w:val="none"/>
        </w:rPr>
        <w:t>万元（取整至百位）</w:t>
      </w:r>
    </w:p>
    <w:p>
      <w:pPr>
        <w:pStyle w:val="2"/>
        <w:rPr>
          <w:rFonts w:hint="eastAsia"/>
          <w:lang w:val="en-US" w:eastAsia="zh-CN"/>
        </w:rPr>
      </w:pPr>
    </w:p>
    <w:p>
      <w:pPr>
        <w:pStyle w:val="4"/>
        <w:snapToGrid w:val="0"/>
        <w:spacing w:before="0" w:after="0" w:line="360" w:lineRule="auto"/>
        <w:rPr>
          <w:rFonts w:hint="eastAsia"/>
          <w:snapToGrid w:val="0"/>
          <w:kern w:val="0"/>
          <w:sz w:val="30"/>
          <w:szCs w:val="30"/>
        </w:rPr>
      </w:pPr>
      <w:bookmarkStart w:id="50" w:name="_Toc24610"/>
      <w:r>
        <w:rPr>
          <w:rFonts w:hint="eastAsia"/>
          <w:snapToGrid w:val="0"/>
          <w:kern w:val="0"/>
          <w:sz w:val="30"/>
          <w:szCs w:val="30"/>
        </w:rPr>
        <w:t>（七）评估结果</w:t>
      </w:r>
      <w:bookmarkEnd w:id="50"/>
    </w:p>
    <w:p>
      <w:pPr>
        <w:tabs>
          <w:tab w:val="left" w:pos="0"/>
        </w:tabs>
        <w:adjustRightInd w:val="0"/>
        <w:snapToGrid w:val="0"/>
        <w:spacing w:line="480" w:lineRule="exact"/>
        <w:ind w:firstLine="480"/>
        <w:rPr>
          <w:rFonts w:hint="eastAsia" w:ascii="仿宋_GB2312" w:hAnsi="Times New Roman" w:eastAsia="仿宋_GB2312" w:cs="Times New Roman"/>
          <w:snapToGrid w:val="0"/>
          <w:kern w:val="0"/>
          <w:sz w:val="28"/>
          <w:szCs w:val="28"/>
        </w:rPr>
      </w:pPr>
      <w:bookmarkStart w:id="51" w:name="_Toc273364715"/>
      <w:bookmarkStart w:id="52" w:name="_Toc262224748"/>
      <w:bookmarkStart w:id="53" w:name="_Toc262454109"/>
      <w:bookmarkStart w:id="54" w:name="_Toc342918043"/>
      <w:r>
        <w:rPr>
          <w:rFonts w:hint="eastAsia" w:ascii="仿宋_GB2312" w:hAnsi="Times New Roman" w:eastAsia="仿宋_GB2312" w:cs="Times New Roman"/>
          <w:snapToGrid w:val="0"/>
          <w:kern w:val="0"/>
          <w:sz w:val="28"/>
          <w:szCs w:val="28"/>
        </w:rPr>
        <w:t>本着独立、客观、公正、合法的原则，估价人员在进行实地查勘、广泛收集有关市场信息和估价对象信息的基础上，全面分析了影响估价对象价值的各项有利和不利因素，根据国家有关房地产估价的法律法规和估价目的，按照科学的估价程序，运用</w:t>
      </w:r>
      <w:r>
        <w:rPr>
          <w:rFonts w:hint="eastAsia" w:ascii="仿宋_GB2312" w:eastAsia="仿宋_GB2312" w:cs="Times New Roman"/>
          <w:snapToGrid w:val="0"/>
          <w:kern w:val="0"/>
          <w:sz w:val="28"/>
          <w:szCs w:val="28"/>
          <w:lang w:eastAsia="zh-CN"/>
        </w:rPr>
        <w:t>比较</w:t>
      </w:r>
      <w:r>
        <w:rPr>
          <w:rFonts w:hint="eastAsia" w:ascii="仿宋_GB2312" w:hAnsi="Times New Roman" w:eastAsia="仿宋_GB2312" w:cs="Times New Roman"/>
          <w:snapToGrid w:val="0"/>
          <w:kern w:val="0"/>
          <w:sz w:val="28"/>
          <w:szCs w:val="28"/>
        </w:rPr>
        <w:t>法</w:t>
      </w:r>
      <w:r>
        <w:rPr>
          <w:rFonts w:hint="eastAsia" w:ascii="仿宋_GB2312" w:eastAsia="仿宋_GB2312" w:cs="Times New Roman"/>
          <w:snapToGrid w:val="0"/>
          <w:kern w:val="0"/>
          <w:sz w:val="28"/>
          <w:szCs w:val="28"/>
          <w:lang w:val="en-US" w:eastAsia="zh-CN"/>
        </w:rPr>
        <w:t>及收益法</w:t>
      </w:r>
      <w:r>
        <w:rPr>
          <w:rFonts w:hint="eastAsia" w:ascii="仿宋_GB2312" w:hAnsi="Times New Roman" w:eastAsia="仿宋_GB2312" w:cs="Times New Roman"/>
          <w:snapToGrid w:val="0"/>
          <w:kern w:val="0"/>
          <w:sz w:val="28"/>
          <w:szCs w:val="28"/>
        </w:rPr>
        <w:t>对估价对象进行价值测算，确定估价对象（总建筑面积为</w:t>
      </w:r>
      <w:r>
        <w:rPr>
          <w:rFonts w:hint="eastAsia" w:ascii="仿宋_GB2312" w:eastAsia="仿宋_GB2312" w:cs="Times New Roman"/>
          <w:snapToGrid w:val="0"/>
          <w:kern w:val="0"/>
          <w:sz w:val="28"/>
          <w:szCs w:val="28"/>
          <w:lang w:eastAsia="zh-CN"/>
        </w:rPr>
        <w:t>3563.7</w:t>
      </w:r>
      <w:r>
        <w:rPr>
          <w:rFonts w:hint="eastAsia" w:ascii="仿宋_GB2312" w:hAnsi="Times New Roman" w:eastAsia="仿宋_GB2312" w:cs="Times New Roman"/>
          <w:snapToGrid w:val="0"/>
          <w:kern w:val="0"/>
          <w:sz w:val="28"/>
          <w:szCs w:val="28"/>
        </w:rPr>
        <w:t>平方米）于价值时点</w:t>
      </w:r>
      <w:r>
        <w:rPr>
          <w:rFonts w:hint="eastAsia" w:ascii="仿宋_GB2312" w:eastAsia="仿宋_GB2312" w:cs="Times New Roman"/>
          <w:snapToGrid w:val="0"/>
          <w:kern w:val="0"/>
          <w:sz w:val="28"/>
          <w:szCs w:val="28"/>
          <w:lang w:eastAsia="zh-CN"/>
        </w:rPr>
        <w:t>2024年2月1日</w:t>
      </w:r>
      <w:r>
        <w:rPr>
          <w:rFonts w:hint="eastAsia" w:ascii="仿宋_GB2312" w:hAnsi="Times New Roman" w:eastAsia="仿宋_GB2312" w:cs="Times New Roman"/>
          <w:snapToGrid w:val="0"/>
          <w:kern w:val="0"/>
          <w:sz w:val="28"/>
          <w:szCs w:val="28"/>
        </w:rPr>
        <w:t>的市场价格为</w:t>
      </w:r>
      <w:r>
        <w:rPr>
          <w:rFonts w:hint="eastAsia" w:ascii="仿宋_GB2312" w:eastAsia="仿宋_GB2312" w:cs="Times New Roman"/>
          <w:b/>
          <w:bCs/>
          <w:snapToGrid w:val="0"/>
          <w:kern w:val="0"/>
          <w:sz w:val="28"/>
          <w:szCs w:val="28"/>
          <w:lang w:eastAsia="zh-CN"/>
        </w:rPr>
        <w:t>583.29</w:t>
      </w:r>
      <w:r>
        <w:rPr>
          <w:rFonts w:hint="eastAsia" w:ascii="仿宋_GB2312" w:eastAsia="仿宋_GB2312"/>
          <w:b/>
          <w:bCs/>
          <w:snapToGrid w:val="0"/>
          <w:sz w:val="28"/>
          <w:szCs w:val="28"/>
        </w:rPr>
        <w:t>万元</w:t>
      </w:r>
      <w:r>
        <w:rPr>
          <w:rFonts w:hint="eastAsia" w:ascii="仿宋_GB2312" w:eastAsia="仿宋_GB2312"/>
          <w:snapToGrid w:val="0"/>
          <w:sz w:val="28"/>
          <w:szCs w:val="28"/>
        </w:rPr>
        <w:t>人民币，大写人民币</w:t>
      </w:r>
      <w:r>
        <w:rPr>
          <w:rFonts w:hint="eastAsia" w:ascii="仿宋_GB2312" w:eastAsia="仿宋_GB2312"/>
          <w:b/>
          <w:snapToGrid w:val="0"/>
          <w:sz w:val="28"/>
          <w:szCs w:val="28"/>
          <w:lang w:val="en-US" w:eastAsia="zh-CN"/>
        </w:rPr>
        <w:t>伍佰捌拾叁万贰仟玖佰</w:t>
      </w:r>
      <w:r>
        <w:rPr>
          <w:rFonts w:hint="eastAsia" w:ascii="仿宋_GB2312" w:eastAsia="仿宋_GB2312"/>
          <w:snapToGrid w:val="0"/>
          <w:sz w:val="28"/>
          <w:szCs w:val="28"/>
        </w:rPr>
        <w:t>元整</w:t>
      </w:r>
      <w:r>
        <w:rPr>
          <w:rFonts w:hint="eastAsia" w:ascii="仿宋_GB2312" w:hAnsi="Times New Roman" w:eastAsia="仿宋_GB2312" w:cs="Times New Roman"/>
          <w:snapToGrid w:val="0"/>
          <w:kern w:val="0"/>
          <w:sz w:val="28"/>
          <w:szCs w:val="28"/>
        </w:rPr>
        <w:t>。估价结果详见《估价结果明细表》。</w:t>
      </w:r>
      <w:bookmarkStart w:id="74" w:name="_GoBack"/>
      <w:bookmarkEnd w:id="74"/>
    </w:p>
    <w:p>
      <w:pPr>
        <w:adjustRightInd w:val="0"/>
        <w:snapToGrid w:val="0"/>
        <w:spacing w:line="360" w:lineRule="auto"/>
        <w:jc w:val="center"/>
        <w:rPr>
          <w:rFonts w:ascii="黑体" w:hAnsi="黑体" w:eastAsia="黑体"/>
          <w:kern w:val="0"/>
          <w:sz w:val="28"/>
          <w:szCs w:val="28"/>
        </w:rPr>
      </w:pPr>
      <w:bookmarkStart w:id="55" w:name="_Toc70585148"/>
      <w:bookmarkStart w:id="56" w:name="_Toc11895"/>
      <w:r>
        <w:rPr>
          <w:rFonts w:hint="eastAsia" w:ascii="仿宋_GB2312" w:hAnsi="Arial" w:eastAsia="仿宋_GB2312"/>
          <w:b/>
          <w:snapToGrid w:val="0"/>
          <w:sz w:val="28"/>
        </w:rPr>
        <w:t>估价结果明细表</w:t>
      </w:r>
    </w:p>
    <w:tbl>
      <w:tblPr>
        <w:tblStyle w:val="45"/>
        <w:tblW w:w="5033" w:type="pct"/>
        <w:tblInd w:w="0" w:type="dxa"/>
        <w:tblLayout w:type="autofit"/>
        <w:tblCellMar>
          <w:top w:w="0" w:type="dxa"/>
          <w:left w:w="108" w:type="dxa"/>
          <w:bottom w:w="0" w:type="dxa"/>
          <w:right w:w="108" w:type="dxa"/>
        </w:tblCellMar>
      </w:tblPr>
      <w:tblGrid>
        <w:gridCol w:w="1511"/>
        <w:gridCol w:w="2278"/>
        <w:gridCol w:w="1676"/>
        <w:gridCol w:w="1256"/>
        <w:gridCol w:w="1068"/>
        <w:gridCol w:w="1146"/>
        <w:gridCol w:w="1094"/>
      </w:tblGrid>
      <w:tr>
        <w:tblPrEx>
          <w:tblCellMar>
            <w:top w:w="0" w:type="dxa"/>
            <w:left w:w="108" w:type="dxa"/>
            <w:bottom w:w="0" w:type="dxa"/>
            <w:right w:w="108" w:type="dxa"/>
          </w:tblCellMar>
        </w:tblPrEx>
        <w:trPr>
          <w:trHeight w:val="275" w:hRule="atLeast"/>
        </w:trPr>
        <w:tc>
          <w:tcPr>
            <w:tcW w:w="75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000000"/>
                <w:sz w:val="20"/>
              </w:rPr>
            </w:pPr>
            <w:r>
              <w:rPr>
                <w:rFonts w:hint="eastAsia" w:ascii="仿宋" w:hAnsi="仿宋" w:eastAsia="仿宋" w:cs="仿宋"/>
                <w:b/>
                <w:bCs/>
                <w:color w:val="000000"/>
                <w:kern w:val="0"/>
                <w:sz w:val="20"/>
                <w:lang w:bidi="ar"/>
              </w:rPr>
              <w:t>权证号</w:t>
            </w:r>
          </w:p>
        </w:tc>
        <w:tc>
          <w:tcPr>
            <w:tcW w:w="11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000000"/>
                <w:sz w:val="20"/>
              </w:rPr>
            </w:pPr>
            <w:r>
              <w:rPr>
                <w:rFonts w:hint="eastAsia" w:ascii="仿宋" w:hAnsi="仿宋" w:eastAsia="仿宋" w:cs="仿宋"/>
                <w:b/>
                <w:bCs/>
                <w:color w:val="000000"/>
                <w:kern w:val="0"/>
                <w:sz w:val="20"/>
                <w:lang w:bidi="ar"/>
              </w:rPr>
              <w:t>坐落</w:t>
            </w:r>
          </w:p>
        </w:tc>
        <w:tc>
          <w:tcPr>
            <w:tcW w:w="8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000000"/>
                <w:sz w:val="20"/>
              </w:rPr>
            </w:pPr>
            <w:r>
              <w:rPr>
                <w:rFonts w:hint="eastAsia" w:ascii="仿宋" w:hAnsi="仿宋" w:eastAsia="仿宋" w:cs="仿宋"/>
                <w:b/>
                <w:bCs/>
                <w:color w:val="000000"/>
                <w:kern w:val="0"/>
                <w:sz w:val="20"/>
                <w:lang w:bidi="ar"/>
              </w:rPr>
              <w:t>权属人</w:t>
            </w:r>
          </w:p>
        </w:tc>
        <w:tc>
          <w:tcPr>
            <w:tcW w:w="62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000000"/>
                <w:sz w:val="20"/>
              </w:rPr>
            </w:pPr>
            <w:r>
              <w:rPr>
                <w:rFonts w:hint="eastAsia" w:ascii="仿宋" w:hAnsi="仿宋" w:eastAsia="仿宋" w:cs="仿宋"/>
                <w:b/>
                <w:bCs/>
                <w:color w:val="000000"/>
                <w:kern w:val="0"/>
                <w:sz w:val="20"/>
                <w:lang w:bidi="ar"/>
              </w:rPr>
              <w:t>结构</w:t>
            </w:r>
          </w:p>
        </w:tc>
        <w:tc>
          <w:tcPr>
            <w:tcW w:w="53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000000"/>
                <w:sz w:val="20"/>
              </w:rPr>
            </w:pPr>
            <w:r>
              <w:rPr>
                <w:rFonts w:hint="eastAsia" w:ascii="仿宋" w:hAnsi="仿宋" w:eastAsia="仿宋" w:cs="仿宋"/>
                <w:b/>
                <w:bCs/>
                <w:color w:val="000000"/>
                <w:kern w:val="0"/>
                <w:sz w:val="20"/>
                <w:lang w:bidi="ar"/>
              </w:rPr>
              <w:t>建筑面积       （㎡）</w:t>
            </w:r>
          </w:p>
        </w:tc>
        <w:tc>
          <w:tcPr>
            <w:tcW w:w="57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000000"/>
                <w:sz w:val="20"/>
              </w:rPr>
            </w:pPr>
            <w:r>
              <w:rPr>
                <w:rFonts w:hint="eastAsia" w:ascii="仿宋" w:hAnsi="仿宋" w:eastAsia="仿宋" w:cs="仿宋"/>
                <w:b/>
                <w:bCs/>
                <w:color w:val="000000"/>
                <w:kern w:val="0"/>
                <w:sz w:val="20"/>
                <w:lang w:bidi="ar"/>
              </w:rPr>
              <w:t>单价        （元/㎡）</w:t>
            </w:r>
          </w:p>
        </w:tc>
        <w:tc>
          <w:tcPr>
            <w:tcW w:w="54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000000"/>
                <w:sz w:val="20"/>
              </w:rPr>
            </w:pPr>
            <w:r>
              <w:rPr>
                <w:rFonts w:hint="eastAsia" w:ascii="仿宋" w:hAnsi="仿宋" w:eastAsia="仿宋" w:cs="仿宋"/>
                <w:b/>
                <w:bCs/>
                <w:color w:val="000000"/>
                <w:kern w:val="0"/>
                <w:sz w:val="20"/>
                <w:lang w:bidi="ar"/>
              </w:rPr>
              <w:t>总估值      （万元）</w:t>
            </w:r>
          </w:p>
        </w:tc>
      </w:tr>
      <w:tr>
        <w:tblPrEx>
          <w:tblCellMar>
            <w:top w:w="0" w:type="dxa"/>
            <w:left w:w="108" w:type="dxa"/>
            <w:bottom w:w="0" w:type="dxa"/>
            <w:right w:w="108" w:type="dxa"/>
          </w:tblCellMar>
        </w:tblPrEx>
        <w:trPr>
          <w:trHeight w:val="430" w:hRule="atLeast"/>
        </w:trPr>
        <w:tc>
          <w:tcPr>
            <w:tcW w:w="753" w:type="pct"/>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color w:val="auto"/>
                <w:kern w:val="0"/>
                <w:sz w:val="20"/>
                <w:highlight w:val="none"/>
                <w:lang w:eastAsia="zh-CN" w:bidi="ar"/>
              </w:rPr>
            </w:pPr>
            <w:r>
              <w:rPr>
                <w:rFonts w:hint="eastAsia" w:ascii="仿宋" w:hAnsi="仿宋" w:eastAsia="仿宋" w:cs="仿宋"/>
                <w:color w:val="auto"/>
                <w:kern w:val="0"/>
                <w:sz w:val="20"/>
                <w:highlight w:val="none"/>
                <w:lang w:eastAsia="zh-CN" w:bidi="ar"/>
              </w:rPr>
              <w:t>粤房字第0944739号</w:t>
            </w:r>
          </w:p>
        </w:tc>
        <w:tc>
          <w:tcPr>
            <w:tcW w:w="1135" w:type="pct"/>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color w:val="auto"/>
                <w:kern w:val="0"/>
                <w:sz w:val="20"/>
                <w:highlight w:val="none"/>
                <w:lang w:eastAsia="zh-CN" w:bidi="ar"/>
              </w:rPr>
            </w:pPr>
            <w:r>
              <w:rPr>
                <w:rFonts w:hint="eastAsia" w:ascii="仿宋" w:hAnsi="仿宋" w:eastAsia="仿宋" w:cs="仿宋"/>
                <w:color w:val="auto"/>
                <w:kern w:val="0"/>
                <w:sz w:val="20"/>
                <w:highlight w:val="none"/>
                <w:lang w:eastAsia="zh-CN" w:bidi="ar"/>
              </w:rPr>
              <w:t>揭阳市惠来县惠城镇葵阳对外工业区家用电器厂</w:t>
            </w:r>
          </w:p>
        </w:tc>
        <w:tc>
          <w:tcPr>
            <w:tcW w:w="835" w:type="pct"/>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color w:val="auto"/>
                <w:kern w:val="0"/>
                <w:sz w:val="20"/>
                <w:highlight w:val="none"/>
                <w:lang w:eastAsia="zh-CN" w:bidi="ar"/>
              </w:rPr>
            </w:pPr>
            <w:r>
              <w:rPr>
                <w:rFonts w:hint="eastAsia" w:ascii="仿宋" w:hAnsi="仿宋" w:eastAsia="仿宋" w:cs="仿宋"/>
                <w:color w:val="auto"/>
                <w:kern w:val="0"/>
                <w:sz w:val="20"/>
                <w:highlight w:val="none"/>
                <w:lang w:eastAsia="zh-CN" w:bidi="ar"/>
              </w:rPr>
              <w:t>惠来县进出口贸易公司</w:t>
            </w:r>
          </w:p>
        </w:tc>
        <w:tc>
          <w:tcPr>
            <w:tcW w:w="625" w:type="pct"/>
            <w:vMerge w:val="restart"/>
            <w:tcBorders>
              <w:top w:val="single" w:color="000000" w:sz="4" w:space="0"/>
              <w:left w:val="single" w:color="000000" w:sz="4" w:space="0"/>
              <w:right w:val="single" w:color="000000" w:sz="4" w:space="0"/>
            </w:tcBorders>
            <w:vAlign w:val="center"/>
          </w:tcPr>
          <w:p>
            <w:pPr>
              <w:widowControl/>
              <w:jc w:val="center"/>
              <w:textAlignment w:val="center"/>
              <w:rPr>
                <w:rFonts w:ascii="仿宋" w:hAnsi="仿宋" w:eastAsia="仿宋" w:cs="仿宋"/>
                <w:color w:val="auto"/>
                <w:kern w:val="0"/>
                <w:sz w:val="20"/>
                <w:highlight w:val="none"/>
                <w:lang w:bidi="ar"/>
              </w:rPr>
            </w:pPr>
            <w:r>
              <w:rPr>
                <w:rFonts w:hint="eastAsia" w:ascii="仿宋" w:hAnsi="仿宋" w:eastAsia="仿宋" w:cs="仿宋"/>
                <w:color w:val="auto"/>
                <w:kern w:val="0"/>
                <w:sz w:val="20"/>
                <w:highlight w:val="none"/>
                <w:lang w:bidi="ar"/>
              </w:rPr>
              <w:t>钢筋混凝土</w:t>
            </w:r>
          </w:p>
        </w:tc>
        <w:tc>
          <w:tcPr>
            <w:tcW w:w="532"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1953.7</w:t>
            </w:r>
          </w:p>
        </w:tc>
        <w:tc>
          <w:tcPr>
            <w:tcW w:w="57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1700.00 </w:t>
            </w:r>
          </w:p>
        </w:tc>
        <w:tc>
          <w:tcPr>
            <w:tcW w:w="545"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332.13 </w:t>
            </w:r>
          </w:p>
        </w:tc>
      </w:tr>
      <w:tr>
        <w:tblPrEx>
          <w:tblCellMar>
            <w:top w:w="0" w:type="dxa"/>
            <w:left w:w="108" w:type="dxa"/>
            <w:bottom w:w="0" w:type="dxa"/>
            <w:right w:w="108" w:type="dxa"/>
          </w:tblCellMar>
        </w:tblPrEx>
        <w:trPr>
          <w:trHeight w:val="430" w:hRule="atLeast"/>
        </w:trPr>
        <w:tc>
          <w:tcPr>
            <w:tcW w:w="753" w:type="pct"/>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auto"/>
                <w:kern w:val="0"/>
                <w:sz w:val="20"/>
                <w:highlight w:val="none"/>
                <w:lang w:eastAsia="zh-CN" w:bidi="ar"/>
              </w:rPr>
            </w:pPr>
          </w:p>
        </w:tc>
        <w:tc>
          <w:tcPr>
            <w:tcW w:w="1135" w:type="pct"/>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auto"/>
                <w:kern w:val="0"/>
                <w:sz w:val="20"/>
                <w:highlight w:val="none"/>
                <w:lang w:eastAsia="zh-CN" w:bidi="ar"/>
              </w:rPr>
            </w:pPr>
          </w:p>
        </w:tc>
        <w:tc>
          <w:tcPr>
            <w:tcW w:w="835" w:type="pct"/>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auto"/>
                <w:kern w:val="0"/>
                <w:sz w:val="20"/>
                <w:highlight w:val="none"/>
                <w:lang w:eastAsia="zh-CN" w:bidi="ar"/>
              </w:rPr>
            </w:pPr>
          </w:p>
        </w:tc>
        <w:tc>
          <w:tcPr>
            <w:tcW w:w="625" w:type="pct"/>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auto"/>
                <w:kern w:val="0"/>
                <w:sz w:val="20"/>
                <w:highlight w:val="none"/>
                <w:lang w:bidi="ar"/>
              </w:rPr>
            </w:pPr>
          </w:p>
        </w:tc>
        <w:tc>
          <w:tcPr>
            <w:tcW w:w="532"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1610</w:t>
            </w:r>
          </w:p>
        </w:tc>
        <w:tc>
          <w:tcPr>
            <w:tcW w:w="57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1560.00 </w:t>
            </w:r>
          </w:p>
        </w:tc>
        <w:tc>
          <w:tcPr>
            <w:tcW w:w="545"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251.16 </w:t>
            </w:r>
          </w:p>
        </w:tc>
      </w:tr>
      <w:tr>
        <w:tblPrEx>
          <w:tblCellMar>
            <w:top w:w="0" w:type="dxa"/>
            <w:left w:w="108" w:type="dxa"/>
            <w:bottom w:w="0" w:type="dxa"/>
            <w:right w:w="108" w:type="dxa"/>
          </w:tblCellMar>
        </w:tblPrEx>
        <w:trPr>
          <w:trHeight w:val="430" w:hRule="atLeast"/>
        </w:trPr>
        <w:tc>
          <w:tcPr>
            <w:tcW w:w="3349" w:type="pct"/>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auto"/>
                <w:kern w:val="0"/>
                <w:sz w:val="20"/>
                <w:highlight w:val="none"/>
                <w:lang w:eastAsia="zh-CN" w:bidi="ar"/>
              </w:rPr>
            </w:pPr>
            <w:r>
              <w:rPr>
                <w:rFonts w:hint="eastAsia" w:ascii="仿宋" w:hAnsi="仿宋" w:eastAsia="仿宋" w:cs="仿宋"/>
                <w:color w:val="auto"/>
                <w:kern w:val="0"/>
                <w:sz w:val="20"/>
                <w:highlight w:val="none"/>
                <w:lang w:eastAsia="zh-CN" w:bidi="ar"/>
              </w:rPr>
              <w:t>合计</w:t>
            </w:r>
          </w:p>
        </w:tc>
        <w:tc>
          <w:tcPr>
            <w:tcW w:w="532"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3563.7</w:t>
            </w:r>
          </w:p>
        </w:tc>
        <w:tc>
          <w:tcPr>
            <w:tcW w:w="571"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w:t>
            </w:r>
          </w:p>
        </w:tc>
        <w:tc>
          <w:tcPr>
            <w:tcW w:w="545"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583.29 </w:t>
            </w:r>
          </w:p>
        </w:tc>
      </w:tr>
    </w:tbl>
    <w:p>
      <w:pPr>
        <w:widowControl w:val="0"/>
        <w:snapToGrid w:val="0"/>
        <w:spacing w:line="360" w:lineRule="auto"/>
        <w:ind w:firstLine="514" w:firstLineChars="200"/>
        <w:rPr>
          <w:rFonts w:hint="eastAsia" w:ascii="仿宋_GB2312" w:hAnsi="仿宋" w:eastAsia="仿宋_GB2312" w:cs="仿宋"/>
          <w:snapToGrid w:val="0"/>
          <w:sz w:val="20"/>
          <w:szCs w:val="20"/>
          <w:lang w:val="en-US" w:eastAsia="zh-CN"/>
        </w:rPr>
      </w:pPr>
      <w:r>
        <w:rPr>
          <w:rFonts w:hint="eastAsia" w:ascii="仿宋_GB2312" w:hAnsi="仿宋" w:eastAsia="仿宋_GB2312" w:cs="仿宋"/>
          <w:snapToGrid w:val="0"/>
          <w:color w:val="auto"/>
          <w:sz w:val="20"/>
          <w:szCs w:val="20"/>
          <w:highlight w:val="none"/>
          <w:lang w:val="en-US" w:eastAsia="zh-CN"/>
        </w:rPr>
        <w:t>备注：本估价结果为房地产市场价值，仅包含估价对象房屋建筑物及占用的土地使用权市场价值，同时包含满足估价对象功能需要的水、电、消防等配套设施价值及附着于房地产实现其使用功能的装饰装修价值，不包含动产（如可移动的存货、家具、电器等物品）、债权债务、特许经营权等其他财产价值。</w:t>
      </w:r>
    </w:p>
    <w:p/>
    <w:p>
      <w:pPr>
        <w:pStyle w:val="2"/>
      </w:pPr>
    </w:p>
    <w:p>
      <w:pPr>
        <w:pStyle w:val="2"/>
      </w:pPr>
    </w:p>
    <w:p>
      <w:pPr>
        <w:pStyle w:val="2"/>
      </w:pPr>
    </w:p>
    <w:p>
      <w:pPr>
        <w:pStyle w:val="2"/>
      </w:pPr>
    </w:p>
    <w:p>
      <w:pPr>
        <w:pStyle w:val="2"/>
      </w:pPr>
    </w:p>
    <w:p>
      <w:pPr>
        <w:pStyle w:val="2"/>
      </w:pPr>
    </w:p>
    <w:p>
      <w:pPr>
        <w:pStyle w:val="2"/>
      </w:pPr>
    </w:p>
    <w:p>
      <w:pPr>
        <w:pStyle w:val="2"/>
      </w:pPr>
    </w:p>
    <w:p>
      <w:pPr>
        <w:pStyle w:val="4"/>
        <w:snapToGrid w:val="0"/>
        <w:spacing w:before="0" w:after="0" w:line="360" w:lineRule="auto"/>
        <w:jc w:val="center"/>
        <w:rPr>
          <w:rFonts w:hint="eastAsia"/>
          <w:snapToGrid w:val="0"/>
          <w:kern w:val="0"/>
          <w:sz w:val="30"/>
          <w:szCs w:val="30"/>
        </w:rPr>
      </w:pPr>
      <w:bookmarkStart w:id="57" w:name="_Toc16739"/>
    </w:p>
    <w:p>
      <w:pPr>
        <w:rPr>
          <w:rFonts w:hint="eastAsia"/>
          <w:snapToGrid w:val="0"/>
          <w:kern w:val="0"/>
          <w:sz w:val="30"/>
          <w:szCs w:val="30"/>
        </w:rPr>
      </w:pPr>
    </w:p>
    <w:p>
      <w:pPr>
        <w:pStyle w:val="2"/>
        <w:rPr>
          <w:rFonts w:hint="eastAsia"/>
        </w:rPr>
      </w:pPr>
    </w:p>
    <w:p>
      <w:pPr>
        <w:pStyle w:val="2"/>
        <w:rPr>
          <w:rFonts w:hint="eastAsia"/>
        </w:rPr>
      </w:pPr>
    </w:p>
    <w:p>
      <w:pPr>
        <w:pStyle w:val="4"/>
        <w:snapToGrid w:val="0"/>
        <w:spacing w:before="0" w:after="0" w:line="360" w:lineRule="auto"/>
        <w:jc w:val="center"/>
        <w:rPr>
          <w:rFonts w:hint="eastAsia"/>
          <w:snapToGrid w:val="0"/>
          <w:kern w:val="0"/>
          <w:sz w:val="30"/>
          <w:szCs w:val="30"/>
        </w:rPr>
      </w:pPr>
      <w:r>
        <w:rPr>
          <w:rFonts w:hint="eastAsia"/>
          <w:snapToGrid w:val="0"/>
          <w:kern w:val="0"/>
          <w:sz w:val="30"/>
          <w:szCs w:val="30"/>
        </w:rPr>
        <w:t>附　　件</w:t>
      </w:r>
      <w:bookmarkEnd w:id="51"/>
      <w:bookmarkEnd w:id="52"/>
      <w:bookmarkEnd w:id="53"/>
      <w:bookmarkEnd w:id="54"/>
      <w:bookmarkEnd w:id="55"/>
      <w:bookmarkEnd w:id="56"/>
      <w:bookmarkEnd w:id="57"/>
    </w:p>
    <w:p/>
    <w:p>
      <w:pPr>
        <w:pStyle w:val="330"/>
        <w:rPr>
          <w:b w:val="0"/>
          <w:color w:val="auto"/>
          <w:sz w:val="28"/>
        </w:rPr>
      </w:pPr>
      <w:bookmarkStart w:id="58" w:name="_Toc2602"/>
      <w:bookmarkStart w:id="59" w:name="_Toc19125"/>
      <w:r>
        <w:rPr>
          <w:rFonts w:hint="eastAsia"/>
          <w:b w:val="0"/>
          <w:color w:val="auto"/>
          <w:sz w:val="28"/>
        </w:rPr>
        <w:t>（一）估价对象的地理位置示意图</w:t>
      </w:r>
      <w:bookmarkEnd w:id="58"/>
      <w:r>
        <w:rPr>
          <w:rFonts w:hint="eastAsia"/>
          <w:b w:val="0"/>
          <w:color w:val="auto"/>
          <w:sz w:val="28"/>
        </w:rPr>
        <w:t>及现场相片</w:t>
      </w:r>
      <w:bookmarkEnd w:id="59"/>
    </w:p>
    <w:p>
      <w:pPr>
        <w:pStyle w:val="330"/>
        <w:rPr>
          <w:b w:val="0"/>
          <w:color w:val="auto"/>
          <w:sz w:val="28"/>
        </w:rPr>
      </w:pPr>
      <w:bookmarkStart w:id="60" w:name="_Toc31981"/>
      <w:r>
        <w:rPr>
          <w:rFonts w:hint="eastAsia"/>
          <w:b w:val="0"/>
          <w:color w:val="auto"/>
          <w:sz w:val="28"/>
        </w:rPr>
        <w:t>（二）委托方提供《</w:t>
      </w:r>
      <w:r>
        <w:rPr>
          <w:rFonts w:hint="eastAsia"/>
          <w:b w:val="0"/>
          <w:color w:val="auto"/>
          <w:sz w:val="28"/>
          <w:lang w:eastAsia="zh-CN"/>
        </w:rPr>
        <w:t>重新评估委托书</w:t>
      </w:r>
      <w:r>
        <w:rPr>
          <w:rFonts w:hint="eastAsia"/>
          <w:b w:val="0"/>
          <w:color w:val="auto"/>
          <w:sz w:val="28"/>
        </w:rPr>
        <w:t>》复印件</w:t>
      </w:r>
      <w:bookmarkEnd w:id="60"/>
    </w:p>
    <w:p>
      <w:pPr>
        <w:pStyle w:val="330"/>
        <w:rPr>
          <w:b w:val="0"/>
          <w:color w:val="auto"/>
          <w:sz w:val="28"/>
        </w:rPr>
      </w:pPr>
      <w:bookmarkStart w:id="61" w:name="_Toc339438812"/>
      <w:bookmarkStart w:id="62" w:name="_Toc17011"/>
      <w:bookmarkStart w:id="63" w:name="_Toc15216"/>
      <w:r>
        <w:rPr>
          <w:rFonts w:hint="eastAsia"/>
          <w:b w:val="0"/>
          <w:color w:val="auto"/>
          <w:sz w:val="28"/>
        </w:rPr>
        <w:t>（三）</w:t>
      </w:r>
      <w:bookmarkEnd w:id="61"/>
      <w:r>
        <w:rPr>
          <w:rFonts w:hint="eastAsia"/>
          <w:b w:val="0"/>
          <w:color w:val="auto"/>
          <w:sz w:val="28"/>
        </w:rPr>
        <w:t>委托方提供《</w:t>
      </w:r>
      <w:r>
        <w:rPr>
          <w:rFonts w:hint="eastAsia"/>
          <w:b w:val="0"/>
          <w:color w:val="auto"/>
          <w:sz w:val="28"/>
          <w:lang w:eastAsia="zh-CN"/>
        </w:rPr>
        <w:t>执行裁定书</w:t>
      </w:r>
      <w:r>
        <w:rPr>
          <w:rFonts w:hint="eastAsia"/>
          <w:b w:val="0"/>
          <w:color w:val="auto"/>
          <w:sz w:val="28"/>
        </w:rPr>
        <w:t>》复印件</w:t>
      </w:r>
      <w:bookmarkEnd w:id="62"/>
      <w:bookmarkEnd w:id="63"/>
    </w:p>
    <w:p>
      <w:pPr>
        <w:pStyle w:val="330"/>
        <w:rPr>
          <w:b w:val="0"/>
          <w:color w:val="auto"/>
          <w:sz w:val="28"/>
        </w:rPr>
      </w:pPr>
      <w:bookmarkStart w:id="64" w:name="_Toc339"/>
      <w:r>
        <w:rPr>
          <w:rFonts w:hint="eastAsia"/>
          <w:b w:val="0"/>
          <w:color w:val="auto"/>
          <w:sz w:val="28"/>
        </w:rPr>
        <w:t>（四）相关产权证明资料</w:t>
      </w:r>
      <w:bookmarkEnd w:id="64"/>
    </w:p>
    <w:p>
      <w:pPr>
        <w:pStyle w:val="330"/>
        <w:rPr>
          <w:b w:val="0"/>
          <w:color w:val="auto"/>
          <w:sz w:val="28"/>
        </w:rPr>
      </w:pPr>
      <w:bookmarkStart w:id="65" w:name="_Toc61355680"/>
      <w:bookmarkStart w:id="66" w:name="_Toc26770"/>
      <w:bookmarkStart w:id="67" w:name="_Toc24739"/>
      <w:r>
        <w:rPr>
          <w:rFonts w:hint="eastAsia"/>
          <w:b w:val="0"/>
          <w:color w:val="auto"/>
          <w:sz w:val="28"/>
        </w:rPr>
        <w:t>（五）</w:t>
      </w:r>
      <w:bookmarkEnd w:id="65"/>
      <w:bookmarkStart w:id="68" w:name="_Toc262454114"/>
      <w:bookmarkStart w:id="69" w:name="_Toc339438814"/>
      <w:bookmarkStart w:id="70" w:name="_Toc273364719"/>
      <w:bookmarkStart w:id="71" w:name="_Toc262224754"/>
      <w:r>
        <w:rPr>
          <w:rFonts w:hint="eastAsia"/>
          <w:b w:val="0"/>
          <w:color w:val="auto"/>
          <w:sz w:val="28"/>
        </w:rPr>
        <w:t>估价机构资质与工商营业执照复印件</w:t>
      </w:r>
      <w:bookmarkEnd w:id="66"/>
      <w:bookmarkEnd w:id="67"/>
      <w:bookmarkEnd w:id="68"/>
      <w:bookmarkEnd w:id="69"/>
      <w:bookmarkEnd w:id="70"/>
      <w:bookmarkEnd w:id="71"/>
    </w:p>
    <w:p>
      <w:pPr>
        <w:pStyle w:val="330"/>
        <w:rPr>
          <w:b w:val="0"/>
          <w:color w:val="auto"/>
          <w:sz w:val="28"/>
        </w:rPr>
      </w:pPr>
      <w:bookmarkStart w:id="72" w:name="_Toc8518"/>
      <w:bookmarkStart w:id="73" w:name="_Toc4240"/>
      <w:r>
        <w:rPr>
          <w:rFonts w:hint="eastAsia"/>
          <w:b w:val="0"/>
          <w:color w:val="auto"/>
          <w:sz w:val="28"/>
        </w:rPr>
        <w:t>（六）注册房地产估价师注册证书复印件</w:t>
      </w:r>
      <w:bookmarkEnd w:id="72"/>
      <w:bookmarkEnd w:id="73"/>
    </w:p>
    <w:p>
      <w:pPr>
        <w:rPr>
          <w:snapToGrid w:val="0"/>
          <w:kern w:val="0"/>
          <w:sz w:val="24"/>
        </w:rPr>
      </w:pPr>
    </w:p>
    <w:p>
      <w:pPr>
        <w:pStyle w:val="58"/>
      </w:pPr>
    </w:p>
    <w:p>
      <w:pPr>
        <w:pStyle w:val="58"/>
        <w:rPr>
          <w:snapToGrid w:val="0"/>
          <w:color w:val="auto"/>
        </w:rPr>
      </w:pPr>
    </w:p>
    <w:p>
      <w:pPr>
        <w:pStyle w:val="58"/>
        <w:rPr>
          <w:snapToGrid w:val="0"/>
          <w:color w:val="auto"/>
        </w:rPr>
      </w:pPr>
    </w:p>
    <w:p>
      <w:pPr>
        <w:pStyle w:val="58"/>
        <w:rPr>
          <w:snapToGrid w:val="0"/>
          <w:color w:val="auto"/>
        </w:rPr>
      </w:pPr>
    </w:p>
    <w:p>
      <w:pPr>
        <w:pStyle w:val="58"/>
        <w:rPr>
          <w:snapToGrid w:val="0"/>
          <w:color w:val="auto"/>
        </w:rPr>
      </w:pPr>
    </w:p>
    <w:p>
      <w:pPr>
        <w:pStyle w:val="58"/>
        <w:rPr>
          <w:snapToGrid w:val="0"/>
          <w:color w:val="auto"/>
        </w:rPr>
      </w:pPr>
    </w:p>
    <w:p>
      <w:pPr>
        <w:pStyle w:val="58"/>
      </w:pPr>
    </w:p>
    <w:sectPr>
      <w:footerReference r:id="rId4" w:type="default"/>
      <w:pgSz w:w="11907" w:h="16840"/>
      <w:pgMar w:top="1440" w:right="1080" w:bottom="1440" w:left="1080" w:header="680" w:footer="851" w:gutter="284"/>
      <w:pgBorders>
        <w:top w:val="none" w:sz="0" w:space="0"/>
        <w:left w:val="none" w:sz="0" w:space="0"/>
        <w:bottom w:val="none" w:sz="0" w:space="0"/>
        <w:right w:val="none" w:sz="0" w:space="0"/>
      </w:pgBorders>
      <w:pgNumType w:start="1"/>
      <w:cols w:space="720" w:num="1"/>
      <w:docGrid w:type="linesAndChars" w:linePitch="475" w:charSpace="1182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仿宋_GB2312">
    <w:altName w:val="仿宋"/>
    <w:panose1 w:val="00000000000000000000"/>
    <w:charset w:val="86"/>
    <w:family w:val="modern"/>
    <w:pitch w:val="default"/>
    <w:sig w:usb0="00000000" w:usb1="00000000" w:usb2="00000000" w:usb3="00000000" w:csb0="00040000" w:csb1="00000000"/>
  </w:font>
  <w:font w:name="Bookman Old Style">
    <w:altName w:val="Segoe Print"/>
    <w:panose1 w:val="02050604050505020204"/>
    <w:charset w:val="00"/>
    <w:family w:val="roman"/>
    <w:pitch w:val="default"/>
    <w:sig w:usb0="00000000" w:usb1="00000000" w:usb2="00000000" w:usb3="00000000" w:csb0="2000009F" w:csb1="DFD70000"/>
  </w:font>
  <w:font w:name="华文细黑">
    <w:altName w:val="微软雅黑"/>
    <w:panose1 w:val="02010600040101010101"/>
    <w:charset w:val="86"/>
    <w:family w:val="auto"/>
    <w:pitch w:val="default"/>
    <w:sig w:usb0="00000000" w:usb1="00000000" w:usb2="00000000" w:usb3="00000000" w:csb0="0004009F" w:csb1="DFD7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文鼎中隶简">
    <w:altName w:val="宋体"/>
    <w:panose1 w:val="00000000000000000000"/>
    <w:charset w:val="86"/>
    <w:family w:val="modern"/>
    <w:pitch w:val="default"/>
    <w:sig w:usb0="00000000" w:usb1="00000000" w:usb2="00000010" w:usb3="00000000" w:csb0="00040000" w:csb1="00000000"/>
  </w:font>
  <w:font w:name="方正楷体简体">
    <w:altName w:val="宋体"/>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t xml:space="preserve">- </w:t>
    </w:r>
    <w:r>
      <w:fldChar w:fldCharType="begin"/>
    </w:r>
    <w:r>
      <w:instrText xml:space="preserve"> PAGE </w:instrText>
    </w:r>
    <w:r>
      <w:fldChar w:fldCharType="separate"/>
    </w:r>
    <w:r>
      <w:t>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kern w:val="0"/>
        <w:sz w:val="20"/>
      </w:rPr>
      <w:t xml:space="preserve">- </w:t>
    </w:r>
    <w:r>
      <w:rPr>
        <w:kern w:val="0"/>
        <w:sz w:val="20"/>
      </w:rPr>
      <w:fldChar w:fldCharType="begin"/>
    </w:r>
    <w:r>
      <w:rPr>
        <w:kern w:val="0"/>
        <w:sz w:val="20"/>
      </w:rPr>
      <w:instrText xml:space="preserve"> PAGE </w:instrText>
    </w:r>
    <w:r>
      <w:rPr>
        <w:kern w:val="0"/>
        <w:sz w:val="20"/>
      </w:rPr>
      <w:fldChar w:fldCharType="separate"/>
    </w:r>
    <w:r>
      <w:rPr>
        <w:kern w:val="0"/>
        <w:sz w:val="20"/>
      </w:rPr>
      <w:t>1</w:t>
    </w:r>
    <w:r>
      <w:rPr>
        <w:kern w:val="0"/>
        <w:sz w:val="20"/>
      </w:rPr>
      <w:fldChar w:fldCharType="end"/>
    </w:r>
    <w:r>
      <w:rPr>
        <w:kern w:val="0"/>
        <w:sz w:val="20"/>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70054"/>
    <w:multiLevelType w:val="singleLevel"/>
    <w:tmpl w:val="00270054"/>
    <w:lvl w:ilvl="0" w:tentative="0">
      <w:start w:val="1"/>
      <w:numFmt w:val="japaneseCounting"/>
      <w:pStyle w:val="225"/>
      <w:lvlText w:val="%1、"/>
      <w:lvlJc w:val="left"/>
      <w:pPr>
        <w:tabs>
          <w:tab w:val="left" w:pos="420"/>
        </w:tabs>
        <w:ind w:left="420" w:hanging="420"/>
      </w:pPr>
      <w:rPr>
        <w:rFonts w:hint="eastAsia"/>
      </w:rPr>
    </w:lvl>
  </w:abstractNum>
  <w:abstractNum w:abstractNumId="1">
    <w:nsid w:val="071C34E7"/>
    <w:multiLevelType w:val="singleLevel"/>
    <w:tmpl w:val="071C34E7"/>
    <w:lvl w:ilvl="0" w:tentative="0">
      <w:start w:val="1"/>
      <w:numFmt w:val="upperLetter"/>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gutterAtTop/>
  <w:attachedTemplate r:id="rId1"/>
  <w:documentProtection w:enforcement="0"/>
  <w:defaultTabStop w:val="425"/>
  <w:drawingGridHorizontalSpacing w:val="134"/>
  <w:drawingGridVerticalSpacing w:val="475"/>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IyY2QxZTFlNGJlMmFkZDg1YzU4MGU2ODUxMWU4MGMifQ=="/>
  </w:docVars>
  <w:rsids>
    <w:rsidRoot w:val="00172A27"/>
    <w:rsid w:val="000001E1"/>
    <w:rsid w:val="0000115E"/>
    <w:rsid w:val="000025DD"/>
    <w:rsid w:val="00002797"/>
    <w:rsid w:val="00004B15"/>
    <w:rsid w:val="00005021"/>
    <w:rsid w:val="000050EA"/>
    <w:rsid w:val="000052F2"/>
    <w:rsid w:val="00005D7A"/>
    <w:rsid w:val="000109D1"/>
    <w:rsid w:val="00010E08"/>
    <w:rsid w:val="0001123E"/>
    <w:rsid w:val="000124B0"/>
    <w:rsid w:val="0001318B"/>
    <w:rsid w:val="0001375F"/>
    <w:rsid w:val="00015EC3"/>
    <w:rsid w:val="0001685D"/>
    <w:rsid w:val="00016C94"/>
    <w:rsid w:val="00016D00"/>
    <w:rsid w:val="00016E63"/>
    <w:rsid w:val="00017113"/>
    <w:rsid w:val="0001739D"/>
    <w:rsid w:val="00017B81"/>
    <w:rsid w:val="00017D05"/>
    <w:rsid w:val="00020284"/>
    <w:rsid w:val="000209C8"/>
    <w:rsid w:val="00021176"/>
    <w:rsid w:val="00021B68"/>
    <w:rsid w:val="00023531"/>
    <w:rsid w:val="0002440D"/>
    <w:rsid w:val="00026028"/>
    <w:rsid w:val="00026D15"/>
    <w:rsid w:val="00030C60"/>
    <w:rsid w:val="00030C89"/>
    <w:rsid w:val="0003130A"/>
    <w:rsid w:val="0003407D"/>
    <w:rsid w:val="00034357"/>
    <w:rsid w:val="00034400"/>
    <w:rsid w:val="00036BB7"/>
    <w:rsid w:val="00037C40"/>
    <w:rsid w:val="0004002A"/>
    <w:rsid w:val="000444B3"/>
    <w:rsid w:val="000447EC"/>
    <w:rsid w:val="00044EF6"/>
    <w:rsid w:val="00044F17"/>
    <w:rsid w:val="0004549F"/>
    <w:rsid w:val="000459ED"/>
    <w:rsid w:val="00045CCC"/>
    <w:rsid w:val="0005150D"/>
    <w:rsid w:val="000519E7"/>
    <w:rsid w:val="00052046"/>
    <w:rsid w:val="00052EC9"/>
    <w:rsid w:val="00053521"/>
    <w:rsid w:val="000539E8"/>
    <w:rsid w:val="000541A4"/>
    <w:rsid w:val="0005456F"/>
    <w:rsid w:val="00054762"/>
    <w:rsid w:val="00054816"/>
    <w:rsid w:val="00055CBE"/>
    <w:rsid w:val="0005680E"/>
    <w:rsid w:val="00060533"/>
    <w:rsid w:val="00060F41"/>
    <w:rsid w:val="0006246C"/>
    <w:rsid w:val="0006367C"/>
    <w:rsid w:val="0006428C"/>
    <w:rsid w:val="00064619"/>
    <w:rsid w:val="00064B3F"/>
    <w:rsid w:val="000650F2"/>
    <w:rsid w:val="000652C0"/>
    <w:rsid w:val="00065559"/>
    <w:rsid w:val="00070675"/>
    <w:rsid w:val="00071299"/>
    <w:rsid w:val="000721D3"/>
    <w:rsid w:val="000724B0"/>
    <w:rsid w:val="0007278F"/>
    <w:rsid w:val="00072F6D"/>
    <w:rsid w:val="0007417D"/>
    <w:rsid w:val="000746EB"/>
    <w:rsid w:val="00074EED"/>
    <w:rsid w:val="00075E60"/>
    <w:rsid w:val="00075F67"/>
    <w:rsid w:val="00076192"/>
    <w:rsid w:val="00076318"/>
    <w:rsid w:val="000765CF"/>
    <w:rsid w:val="00076C13"/>
    <w:rsid w:val="0007719C"/>
    <w:rsid w:val="00077228"/>
    <w:rsid w:val="000775B1"/>
    <w:rsid w:val="000776EA"/>
    <w:rsid w:val="00080291"/>
    <w:rsid w:val="000810B2"/>
    <w:rsid w:val="00081102"/>
    <w:rsid w:val="00081524"/>
    <w:rsid w:val="00081BEC"/>
    <w:rsid w:val="00081D0E"/>
    <w:rsid w:val="00081EBE"/>
    <w:rsid w:val="000832A5"/>
    <w:rsid w:val="00083702"/>
    <w:rsid w:val="00083ABA"/>
    <w:rsid w:val="00083D9D"/>
    <w:rsid w:val="00084A06"/>
    <w:rsid w:val="00085428"/>
    <w:rsid w:val="00085C98"/>
    <w:rsid w:val="00086BED"/>
    <w:rsid w:val="00087C23"/>
    <w:rsid w:val="00087FF2"/>
    <w:rsid w:val="00090761"/>
    <w:rsid w:val="000910DF"/>
    <w:rsid w:val="00091249"/>
    <w:rsid w:val="00092B2B"/>
    <w:rsid w:val="00092C35"/>
    <w:rsid w:val="00092C39"/>
    <w:rsid w:val="00092EA2"/>
    <w:rsid w:val="000930DD"/>
    <w:rsid w:val="00093483"/>
    <w:rsid w:val="0009357D"/>
    <w:rsid w:val="00093F98"/>
    <w:rsid w:val="00095C4E"/>
    <w:rsid w:val="00095CCB"/>
    <w:rsid w:val="00095EBB"/>
    <w:rsid w:val="0009601C"/>
    <w:rsid w:val="00096034"/>
    <w:rsid w:val="000967DB"/>
    <w:rsid w:val="000968FA"/>
    <w:rsid w:val="0009704C"/>
    <w:rsid w:val="0009796D"/>
    <w:rsid w:val="00097EA4"/>
    <w:rsid w:val="000A0215"/>
    <w:rsid w:val="000A13B9"/>
    <w:rsid w:val="000A2784"/>
    <w:rsid w:val="000A32DB"/>
    <w:rsid w:val="000A3697"/>
    <w:rsid w:val="000A5C96"/>
    <w:rsid w:val="000A5D50"/>
    <w:rsid w:val="000A5FD7"/>
    <w:rsid w:val="000A6C59"/>
    <w:rsid w:val="000A70C5"/>
    <w:rsid w:val="000B0773"/>
    <w:rsid w:val="000B0872"/>
    <w:rsid w:val="000B14A5"/>
    <w:rsid w:val="000B19EB"/>
    <w:rsid w:val="000B1D48"/>
    <w:rsid w:val="000B230C"/>
    <w:rsid w:val="000B2B98"/>
    <w:rsid w:val="000B37C3"/>
    <w:rsid w:val="000B42E3"/>
    <w:rsid w:val="000B58BE"/>
    <w:rsid w:val="000B6671"/>
    <w:rsid w:val="000B6C65"/>
    <w:rsid w:val="000B6E74"/>
    <w:rsid w:val="000B719E"/>
    <w:rsid w:val="000B79C4"/>
    <w:rsid w:val="000B7A69"/>
    <w:rsid w:val="000B7EAC"/>
    <w:rsid w:val="000C0A8D"/>
    <w:rsid w:val="000C1C4F"/>
    <w:rsid w:val="000C263A"/>
    <w:rsid w:val="000C28C5"/>
    <w:rsid w:val="000C316E"/>
    <w:rsid w:val="000C543E"/>
    <w:rsid w:val="000C58AC"/>
    <w:rsid w:val="000C66CA"/>
    <w:rsid w:val="000C6DBE"/>
    <w:rsid w:val="000C7D3F"/>
    <w:rsid w:val="000C7DDE"/>
    <w:rsid w:val="000D035D"/>
    <w:rsid w:val="000D037B"/>
    <w:rsid w:val="000D0D58"/>
    <w:rsid w:val="000D1207"/>
    <w:rsid w:val="000D131F"/>
    <w:rsid w:val="000D208E"/>
    <w:rsid w:val="000D3A0E"/>
    <w:rsid w:val="000D4606"/>
    <w:rsid w:val="000D4721"/>
    <w:rsid w:val="000E14E5"/>
    <w:rsid w:val="000E19DA"/>
    <w:rsid w:val="000E2910"/>
    <w:rsid w:val="000E32BA"/>
    <w:rsid w:val="000E4560"/>
    <w:rsid w:val="000E470E"/>
    <w:rsid w:val="000E47BA"/>
    <w:rsid w:val="000E4860"/>
    <w:rsid w:val="000E4CB4"/>
    <w:rsid w:val="000E4ED1"/>
    <w:rsid w:val="000E59AD"/>
    <w:rsid w:val="000E6A95"/>
    <w:rsid w:val="000F0B68"/>
    <w:rsid w:val="000F30BE"/>
    <w:rsid w:val="000F5436"/>
    <w:rsid w:val="000F57D3"/>
    <w:rsid w:val="000F5D5C"/>
    <w:rsid w:val="000F5FBA"/>
    <w:rsid w:val="000F60CF"/>
    <w:rsid w:val="0010095F"/>
    <w:rsid w:val="00100EEC"/>
    <w:rsid w:val="00100F0D"/>
    <w:rsid w:val="001010EF"/>
    <w:rsid w:val="00102588"/>
    <w:rsid w:val="0010497C"/>
    <w:rsid w:val="00105250"/>
    <w:rsid w:val="00105931"/>
    <w:rsid w:val="00105B89"/>
    <w:rsid w:val="00112085"/>
    <w:rsid w:val="001125DC"/>
    <w:rsid w:val="00113BDC"/>
    <w:rsid w:val="001147FC"/>
    <w:rsid w:val="00114EB9"/>
    <w:rsid w:val="001169C9"/>
    <w:rsid w:val="00116CFA"/>
    <w:rsid w:val="00116D34"/>
    <w:rsid w:val="00116FD6"/>
    <w:rsid w:val="00117094"/>
    <w:rsid w:val="00117570"/>
    <w:rsid w:val="0011785A"/>
    <w:rsid w:val="001200ED"/>
    <w:rsid w:val="00120256"/>
    <w:rsid w:val="00122331"/>
    <w:rsid w:val="001228FA"/>
    <w:rsid w:val="00123198"/>
    <w:rsid w:val="001238CF"/>
    <w:rsid w:val="0012405A"/>
    <w:rsid w:val="0012438B"/>
    <w:rsid w:val="00124516"/>
    <w:rsid w:val="00124660"/>
    <w:rsid w:val="0012502A"/>
    <w:rsid w:val="00125ED9"/>
    <w:rsid w:val="00126D6E"/>
    <w:rsid w:val="00127855"/>
    <w:rsid w:val="00127911"/>
    <w:rsid w:val="0013058D"/>
    <w:rsid w:val="00130A37"/>
    <w:rsid w:val="001315B2"/>
    <w:rsid w:val="00131993"/>
    <w:rsid w:val="00131C5F"/>
    <w:rsid w:val="00131C79"/>
    <w:rsid w:val="0013271E"/>
    <w:rsid w:val="0013273C"/>
    <w:rsid w:val="001333F7"/>
    <w:rsid w:val="00133500"/>
    <w:rsid w:val="00133BD0"/>
    <w:rsid w:val="00135AC7"/>
    <w:rsid w:val="00136436"/>
    <w:rsid w:val="0013661A"/>
    <w:rsid w:val="00136689"/>
    <w:rsid w:val="00136C02"/>
    <w:rsid w:val="00136E76"/>
    <w:rsid w:val="001377CD"/>
    <w:rsid w:val="00137DFC"/>
    <w:rsid w:val="00140384"/>
    <w:rsid w:val="001403B9"/>
    <w:rsid w:val="001403D3"/>
    <w:rsid w:val="00140BE7"/>
    <w:rsid w:val="00140BF2"/>
    <w:rsid w:val="001418D0"/>
    <w:rsid w:val="00144688"/>
    <w:rsid w:val="00144F38"/>
    <w:rsid w:val="001451F8"/>
    <w:rsid w:val="00145794"/>
    <w:rsid w:val="00145855"/>
    <w:rsid w:val="00145A62"/>
    <w:rsid w:val="00145D5D"/>
    <w:rsid w:val="00150126"/>
    <w:rsid w:val="001506A2"/>
    <w:rsid w:val="001507EB"/>
    <w:rsid w:val="001509CC"/>
    <w:rsid w:val="001509E5"/>
    <w:rsid w:val="00151DBA"/>
    <w:rsid w:val="00151FEB"/>
    <w:rsid w:val="0015202B"/>
    <w:rsid w:val="001549FE"/>
    <w:rsid w:val="00155DCF"/>
    <w:rsid w:val="001561F9"/>
    <w:rsid w:val="001570D8"/>
    <w:rsid w:val="001572E2"/>
    <w:rsid w:val="00157D09"/>
    <w:rsid w:val="00157E1F"/>
    <w:rsid w:val="00160210"/>
    <w:rsid w:val="001612B4"/>
    <w:rsid w:val="00161E1A"/>
    <w:rsid w:val="00161FB7"/>
    <w:rsid w:val="00162B90"/>
    <w:rsid w:val="001640F7"/>
    <w:rsid w:val="00164638"/>
    <w:rsid w:val="001648F6"/>
    <w:rsid w:val="00165A6D"/>
    <w:rsid w:val="0016638D"/>
    <w:rsid w:val="001678E9"/>
    <w:rsid w:val="0017097C"/>
    <w:rsid w:val="0017171B"/>
    <w:rsid w:val="00172A19"/>
    <w:rsid w:val="00172A27"/>
    <w:rsid w:val="00172C5D"/>
    <w:rsid w:val="00173989"/>
    <w:rsid w:val="00173C26"/>
    <w:rsid w:val="001745C4"/>
    <w:rsid w:val="00175183"/>
    <w:rsid w:val="001758EA"/>
    <w:rsid w:val="00175D9D"/>
    <w:rsid w:val="001764FC"/>
    <w:rsid w:val="00176D35"/>
    <w:rsid w:val="00176D5D"/>
    <w:rsid w:val="0017722D"/>
    <w:rsid w:val="00177B6A"/>
    <w:rsid w:val="00180657"/>
    <w:rsid w:val="0018153B"/>
    <w:rsid w:val="00181FCD"/>
    <w:rsid w:val="00182431"/>
    <w:rsid w:val="00182E81"/>
    <w:rsid w:val="00183A82"/>
    <w:rsid w:val="001842CA"/>
    <w:rsid w:val="0018524A"/>
    <w:rsid w:val="001857B2"/>
    <w:rsid w:val="001865D5"/>
    <w:rsid w:val="00186F42"/>
    <w:rsid w:val="00190E17"/>
    <w:rsid w:val="001913D6"/>
    <w:rsid w:val="00192780"/>
    <w:rsid w:val="00196B05"/>
    <w:rsid w:val="00196C70"/>
    <w:rsid w:val="001A0694"/>
    <w:rsid w:val="001A159A"/>
    <w:rsid w:val="001A2582"/>
    <w:rsid w:val="001A4008"/>
    <w:rsid w:val="001A49B7"/>
    <w:rsid w:val="001A622F"/>
    <w:rsid w:val="001A647C"/>
    <w:rsid w:val="001A6491"/>
    <w:rsid w:val="001A6A92"/>
    <w:rsid w:val="001B1281"/>
    <w:rsid w:val="001B146F"/>
    <w:rsid w:val="001B1CF9"/>
    <w:rsid w:val="001B20C6"/>
    <w:rsid w:val="001B275E"/>
    <w:rsid w:val="001B27D7"/>
    <w:rsid w:val="001B28BA"/>
    <w:rsid w:val="001B31C6"/>
    <w:rsid w:val="001B4577"/>
    <w:rsid w:val="001B5285"/>
    <w:rsid w:val="001B6638"/>
    <w:rsid w:val="001C1928"/>
    <w:rsid w:val="001C3EC0"/>
    <w:rsid w:val="001C4007"/>
    <w:rsid w:val="001C458C"/>
    <w:rsid w:val="001C52E2"/>
    <w:rsid w:val="001C58E4"/>
    <w:rsid w:val="001C650F"/>
    <w:rsid w:val="001C6DD2"/>
    <w:rsid w:val="001C7A72"/>
    <w:rsid w:val="001C7CA0"/>
    <w:rsid w:val="001D14A5"/>
    <w:rsid w:val="001D2295"/>
    <w:rsid w:val="001D2A06"/>
    <w:rsid w:val="001D2A84"/>
    <w:rsid w:val="001D4573"/>
    <w:rsid w:val="001D5A18"/>
    <w:rsid w:val="001D5F9D"/>
    <w:rsid w:val="001D65DF"/>
    <w:rsid w:val="001D66A3"/>
    <w:rsid w:val="001D6A46"/>
    <w:rsid w:val="001D7627"/>
    <w:rsid w:val="001D79F2"/>
    <w:rsid w:val="001D7BAA"/>
    <w:rsid w:val="001E037D"/>
    <w:rsid w:val="001E0DF0"/>
    <w:rsid w:val="001E1E28"/>
    <w:rsid w:val="001E26BF"/>
    <w:rsid w:val="001E42EF"/>
    <w:rsid w:val="001E44D7"/>
    <w:rsid w:val="001E5CE1"/>
    <w:rsid w:val="001E61E6"/>
    <w:rsid w:val="001E64B7"/>
    <w:rsid w:val="001E6BD5"/>
    <w:rsid w:val="001F0384"/>
    <w:rsid w:val="001F0E0E"/>
    <w:rsid w:val="001F2465"/>
    <w:rsid w:val="001F39AB"/>
    <w:rsid w:val="001F70AE"/>
    <w:rsid w:val="001F763C"/>
    <w:rsid w:val="001F7E03"/>
    <w:rsid w:val="002015EF"/>
    <w:rsid w:val="002017AA"/>
    <w:rsid w:val="00202599"/>
    <w:rsid w:val="00202842"/>
    <w:rsid w:val="00202D6A"/>
    <w:rsid w:val="00203378"/>
    <w:rsid w:val="002037D3"/>
    <w:rsid w:val="00203F0B"/>
    <w:rsid w:val="00203FA2"/>
    <w:rsid w:val="00207840"/>
    <w:rsid w:val="0021058C"/>
    <w:rsid w:val="002115C5"/>
    <w:rsid w:val="002120C8"/>
    <w:rsid w:val="002122AE"/>
    <w:rsid w:val="00212D17"/>
    <w:rsid w:val="0021334D"/>
    <w:rsid w:val="002138E5"/>
    <w:rsid w:val="002140DE"/>
    <w:rsid w:val="002171EE"/>
    <w:rsid w:val="00221CCD"/>
    <w:rsid w:val="002246BD"/>
    <w:rsid w:val="00224C8C"/>
    <w:rsid w:val="0022550B"/>
    <w:rsid w:val="00225DE7"/>
    <w:rsid w:val="0022774C"/>
    <w:rsid w:val="00227AA4"/>
    <w:rsid w:val="00230D0D"/>
    <w:rsid w:val="00231477"/>
    <w:rsid w:val="002322E7"/>
    <w:rsid w:val="00234989"/>
    <w:rsid w:val="00235213"/>
    <w:rsid w:val="00236718"/>
    <w:rsid w:val="00240243"/>
    <w:rsid w:val="00240CA6"/>
    <w:rsid w:val="002416F5"/>
    <w:rsid w:val="00241E66"/>
    <w:rsid w:val="00242223"/>
    <w:rsid w:val="0024359C"/>
    <w:rsid w:val="002456FA"/>
    <w:rsid w:val="00245CB2"/>
    <w:rsid w:val="002463C0"/>
    <w:rsid w:val="00246703"/>
    <w:rsid w:val="00247AE8"/>
    <w:rsid w:val="00247D10"/>
    <w:rsid w:val="00251166"/>
    <w:rsid w:val="002517F0"/>
    <w:rsid w:val="00251813"/>
    <w:rsid w:val="00251E32"/>
    <w:rsid w:val="00252D7C"/>
    <w:rsid w:val="00252D83"/>
    <w:rsid w:val="00253408"/>
    <w:rsid w:val="002541BE"/>
    <w:rsid w:val="002551AB"/>
    <w:rsid w:val="00255480"/>
    <w:rsid w:val="00256EC5"/>
    <w:rsid w:val="00257660"/>
    <w:rsid w:val="00257962"/>
    <w:rsid w:val="00260F80"/>
    <w:rsid w:val="00261090"/>
    <w:rsid w:val="002612DE"/>
    <w:rsid w:val="002626F1"/>
    <w:rsid w:val="002628BC"/>
    <w:rsid w:val="00263238"/>
    <w:rsid w:val="002633BF"/>
    <w:rsid w:val="00264746"/>
    <w:rsid w:val="00264AFA"/>
    <w:rsid w:val="00265292"/>
    <w:rsid w:val="0026608D"/>
    <w:rsid w:val="0026664A"/>
    <w:rsid w:val="002667E6"/>
    <w:rsid w:val="00266A4F"/>
    <w:rsid w:val="00266DAE"/>
    <w:rsid w:val="00270BD6"/>
    <w:rsid w:val="00270FFB"/>
    <w:rsid w:val="00271519"/>
    <w:rsid w:val="00273B24"/>
    <w:rsid w:val="002743B2"/>
    <w:rsid w:val="00274F59"/>
    <w:rsid w:val="00275773"/>
    <w:rsid w:val="00275BDD"/>
    <w:rsid w:val="0027673D"/>
    <w:rsid w:val="0028067B"/>
    <w:rsid w:val="0028096E"/>
    <w:rsid w:val="00280B35"/>
    <w:rsid w:val="00281C65"/>
    <w:rsid w:val="00281DBA"/>
    <w:rsid w:val="00282939"/>
    <w:rsid w:val="00283C8F"/>
    <w:rsid w:val="00283D43"/>
    <w:rsid w:val="00284627"/>
    <w:rsid w:val="00285143"/>
    <w:rsid w:val="002925C9"/>
    <w:rsid w:val="00292BBC"/>
    <w:rsid w:val="00293C31"/>
    <w:rsid w:val="0029535A"/>
    <w:rsid w:val="00295879"/>
    <w:rsid w:val="00296281"/>
    <w:rsid w:val="002A0297"/>
    <w:rsid w:val="002A08EE"/>
    <w:rsid w:val="002A26AC"/>
    <w:rsid w:val="002A2DA8"/>
    <w:rsid w:val="002A343A"/>
    <w:rsid w:val="002A359B"/>
    <w:rsid w:val="002A391E"/>
    <w:rsid w:val="002A3925"/>
    <w:rsid w:val="002A3AEA"/>
    <w:rsid w:val="002A3BF9"/>
    <w:rsid w:val="002A449F"/>
    <w:rsid w:val="002A4BAC"/>
    <w:rsid w:val="002A530B"/>
    <w:rsid w:val="002A533C"/>
    <w:rsid w:val="002A77EA"/>
    <w:rsid w:val="002B065B"/>
    <w:rsid w:val="002B1455"/>
    <w:rsid w:val="002B31BC"/>
    <w:rsid w:val="002B372D"/>
    <w:rsid w:val="002B4465"/>
    <w:rsid w:val="002B4F4E"/>
    <w:rsid w:val="002B5F70"/>
    <w:rsid w:val="002B62F9"/>
    <w:rsid w:val="002B6E70"/>
    <w:rsid w:val="002B6F7F"/>
    <w:rsid w:val="002B7D54"/>
    <w:rsid w:val="002B7F96"/>
    <w:rsid w:val="002C0237"/>
    <w:rsid w:val="002C184B"/>
    <w:rsid w:val="002C34B7"/>
    <w:rsid w:val="002C3759"/>
    <w:rsid w:val="002C3948"/>
    <w:rsid w:val="002C45FC"/>
    <w:rsid w:val="002C4CD2"/>
    <w:rsid w:val="002C5A7A"/>
    <w:rsid w:val="002C5E2B"/>
    <w:rsid w:val="002C6A48"/>
    <w:rsid w:val="002C6DB4"/>
    <w:rsid w:val="002C6F19"/>
    <w:rsid w:val="002C713F"/>
    <w:rsid w:val="002C7417"/>
    <w:rsid w:val="002D073E"/>
    <w:rsid w:val="002D0EC0"/>
    <w:rsid w:val="002D12BF"/>
    <w:rsid w:val="002D18A1"/>
    <w:rsid w:val="002D191E"/>
    <w:rsid w:val="002D1932"/>
    <w:rsid w:val="002D1E1D"/>
    <w:rsid w:val="002D2E1E"/>
    <w:rsid w:val="002D2FCC"/>
    <w:rsid w:val="002D3485"/>
    <w:rsid w:val="002D3E74"/>
    <w:rsid w:val="002D4103"/>
    <w:rsid w:val="002D4D40"/>
    <w:rsid w:val="002D4D62"/>
    <w:rsid w:val="002D4F38"/>
    <w:rsid w:val="002D6A84"/>
    <w:rsid w:val="002D79ED"/>
    <w:rsid w:val="002E03C1"/>
    <w:rsid w:val="002E433B"/>
    <w:rsid w:val="002E438F"/>
    <w:rsid w:val="002E4487"/>
    <w:rsid w:val="002E45FB"/>
    <w:rsid w:val="002E4E37"/>
    <w:rsid w:val="002E51D6"/>
    <w:rsid w:val="002E770A"/>
    <w:rsid w:val="002E7AE1"/>
    <w:rsid w:val="002F091D"/>
    <w:rsid w:val="002F134E"/>
    <w:rsid w:val="002F178E"/>
    <w:rsid w:val="002F18A4"/>
    <w:rsid w:val="002F2129"/>
    <w:rsid w:val="002F28D0"/>
    <w:rsid w:val="002F4850"/>
    <w:rsid w:val="002F4C46"/>
    <w:rsid w:val="002F5983"/>
    <w:rsid w:val="002F6539"/>
    <w:rsid w:val="00300306"/>
    <w:rsid w:val="0030066B"/>
    <w:rsid w:val="00300E75"/>
    <w:rsid w:val="003013B7"/>
    <w:rsid w:val="0030185E"/>
    <w:rsid w:val="003030D5"/>
    <w:rsid w:val="00303626"/>
    <w:rsid w:val="0030557C"/>
    <w:rsid w:val="00305E76"/>
    <w:rsid w:val="00306D0E"/>
    <w:rsid w:val="00306F12"/>
    <w:rsid w:val="00310247"/>
    <w:rsid w:val="00311002"/>
    <w:rsid w:val="00311F4D"/>
    <w:rsid w:val="00312512"/>
    <w:rsid w:val="00313612"/>
    <w:rsid w:val="00313C7E"/>
    <w:rsid w:val="00315281"/>
    <w:rsid w:val="003160B7"/>
    <w:rsid w:val="00316191"/>
    <w:rsid w:val="00316895"/>
    <w:rsid w:val="00320373"/>
    <w:rsid w:val="00320600"/>
    <w:rsid w:val="00320BB1"/>
    <w:rsid w:val="00321B5D"/>
    <w:rsid w:val="00322B42"/>
    <w:rsid w:val="00322BC6"/>
    <w:rsid w:val="00323916"/>
    <w:rsid w:val="0032483A"/>
    <w:rsid w:val="0032509C"/>
    <w:rsid w:val="003254BB"/>
    <w:rsid w:val="00325AE9"/>
    <w:rsid w:val="00327EAE"/>
    <w:rsid w:val="00327ED4"/>
    <w:rsid w:val="003302F0"/>
    <w:rsid w:val="003314FA"/>
    <w:rsid w:val="0033166D"/>
    <w:rsid w:val="00333010"/>
    <w:rsid w:val="003342F4"/>
    <w:rsid w:val="00335B7F"/>
    <w:rsid w:val="00337441"/>
    <w:rsid w:val="00337934"/>
    <w:rsid w:val="00340C9B"/>
    <w:rsid w:val="00341040"/>
    <w:rsid w:val="00342CAB"/>
    <w:rsid w:val="00342CC8"/>
    <w:rsid w:val="00343019"/>
    <w:rsid w:val="0034341B"/>
    <w:rsid w:val="003453BE"/>
    <w:rsid w:val="00345BDD"/>
    <w:rsid w:val="003469AD"/>
    <w:rsid w:val="00347475"/>
    <w:rsid w:val="00347DED"/>
    <w:rsid w:val="00351094"/>
    <w:rsid w:val="00351425"/>
    <w:rsid w:val="00351BA5"/>
    <w:rsid w:val="003526DA"/>
    <w:rsid w:val="00352FD3"/>
    <w:rsid w:val="00354F8F"/>
    <w:rsid w:val="00355331"/>
    <w:rsid w:val="003560D5"/>
    <w:rsid w:val="003569BA"/>
    <w:rsid w:val="00356B89"/>
    <w:rsid w:val="00356E9E"/>
    <w:rsid w:val="003574FA"/>
    <w:rsid w:val="00357E23"/>
    <w:rsid w:val="00360C52"/>
    <w:rsid w:val="0036257B"/>
    <w:rsid w:val="003629B2"/>
    <w:rsid w:val="00362A2C"/>
    <w:rsid w:val="00362A84"/>
    <w:rsid w:val="00362AEC"/>
    <w:rsid w:val="0036367E"/>
    <w:rsid w:val="00363901"/>
    <w:rsid w:val="00364AA3"/>
    <w:rsid w:val="00364C60"/>
    <w:rsid w:val="003652D3"/>
    <w:rsid w:val="00365CC9"/>
    <w:rsid w:val="00366153"/>
    <w:rsid w:val="00366E36"/>
    <w:rsid w:val="00366FA9"/>
    <w:rsid w:val="00367F8C"/>
    <w:rsid w:val="00370620"/>
    <w:rsid w:val="00370C3A"/>
    <w:rsid w:val="003718E4"/>
    <w:rsid w:val="003724CD"/>
    <w:rsid w:val="00372693"/>
    <w:rsid w:val="00374050"/>
    <w:rsid w:val="0037560F"/>
    <w:rsid w:val="00376670"/>
    <w:rsid w:val="003767D9"/>
    <w:rsid w:val="0037696D"/>
    <w:rsid w:val="00377290"/>
    <w:rsid w:val="003779F7"/>
    <w:rsid w:val="00382E00"/>
    <w:rsid w:val="00383B8C"/>
    <w:rsid w:val="0038454A"/>
    <w:rsid w:val="00385178"/>
    <w:rsid w:val="0038712E"/>
    <w:rsid w:val="00387307"/>
    <w:rsid w:val="003901CC"/>
    <w:rsid w:val="00390CB4"/>
    <w:rsid w:val="00390ED3"/>
    <w:rsid w:val="00390F3D"/>
    <w:rsid w:val="00391499"/>
    <w:rsid w:val="0039166E"/>
    <w:rsid w:val="0039220F"/>
    <w:rsid w:val="00392360"/>
    <w:rsid w:val="00392BBB"/>
    <w:rsid w:val="00392E2C"/>
    <w:rsid w:val="003947B9"/>
    <w:rsid w:val="00396196"/>
    <w:rsid w:val="0039628D"/>
    <w:rsid w:val="0039628E"/>
    <w:rsid w:val="003969FE"/>
    <w:rsid w:val="00397531"/>
    <w:rsid w:val="003A0316"/>
    <w:rsid w:val="003A139E"/>
    <w:rsid w:val="003A13B8"/>
    <w:rsid w:val="003A1DAD"/>
    <w:rsid w:val="003A1E53"/>
    <w:rsid w:val="003A2312"/>
    <w:rsid w:val="003A2764"/>
    <w:rsid w:val="003A3E39"/>
    <w:rsid w:val="003A451C"/>
    <w:rsid w:val="003A5B1A"/>
    <w:rsid w:val="003A6F2B"/>
    <w:rsid w:val="003A7EDD"/>
    <w:rsid w:val="003B011F"/>
    <w:rsid w:val="003B0AC7"/>
    <w:rsid w:val="003B0E07"/>
    <w:rsid w:val="003B1149"/>
    <w:rsid w:val="003B2373"/>
    <w:rsid w:val="003B28FD"/>
    <w:rsid w:val="003B29C1"/>
    <w:rsid w:val="003B37C2"/>
    <w:rsid w:val="003B3E60"/>
    <w:rsid w:val="003B4FE4"/>
    <w:rsid w:val="003B5311"/>
    <w:rsid w:val="003B5652"/>
    <w:rsid w:val="003B57D7"/>
    <w:rsid w:val="003B580C"/>
    <w:rsid w:val="003B5AC9"/>
    <w:rsid w:val="003B69D4"/>
    <w:rsid w:val="003B7B26"/>
    <w:rsid w:val="003C060E"/>
    <w:rsid w:val="003C0856"/>
    <w:rsid w:val="003C13A3"/>
    <w:rsid w:val="003C185B"/>
    <w:rsid w:val="003C234C"/>
    <w:rsid w:val="003C286B"/>
    <w:rsid w:val="003C287A"/>
    <w:rsid w:val="003C2D0B"/>
    <w:rsid w:val="003C2F56"/>
    <w:rsid w:val="003C3A3E"/>
    <w:rsid w:val="003C3D5B"/>
    <w:rsid w:val="003C3EB1"/>
    <w:rsid w:val="003C544B"/>
    <w:rsid w:val="003C6163"/>
    <w:rsid w:val="003C6731"/>
    <w:rsid w:val="003C67AC"/>
    <w:rsid w:val="003C738D"/>
    <w:rsid w:val="003C7744"/>
    <w:rsid w:val="003C7B78"/>
    <w:rsid w:val="003D0C5B"/>
    <w:rsid w:val="003D14CE"/>
    <w:rsid w:val="003D1686"/>
    <w:rsid w:val="003D3F90"/>
    <w:rsid w:val="003D4083"/>
    <w:rsid w:val="003D4454"/>
    <w:rsid w:val="003D4743"/>
    <w:rsid w:val="003D529F"/>
    <w:rsid w:val="003D53CA"/>
    <w:rsid w:val="003D56D5"/>
    <w:rsid w:val="003D7562"/>
    <w:rsid w:val="003E01C7"/>
    <w:rsid w:val="003E12B3"/>
    <w:rsid w:val="003E140F"/>
    <w:rsid w:val="003E1C89"/>
    <w:rsid w:val="003E31A8"/>
    <w:rsid w:val="003E3CD2"/>
    <w:rsid w:val="003E4B37"/>
    <w:rsid w:val="003E4D50"/>
    <w:rsid w:val="003E4F0B"/>
    <w:rsid w:val="003E5C4E"/>
    <w:rsid w:val="003E775F"/>
    <w:rsid w:val="003E77BC"/>
    <w:rsid w:val="003F179C"/>
    <w:rsid w:val="003F1AF2"/>
    <w:rsid w:val="003F1BEA"/>
    <w:rsid w:val="003F1C60"/>
    <w:rsid w:val="003F22AB"/>
    <w:rsid w:val="003F23E4"/>
    <w:rsid w:val="003F2603"/>
    <w:rsid w:val="003F2F29"/>
    <w:rsid w:val="003F39FF"/>
    <w:rsid w:val="003F3E08"/>
    <w:rsid w:val="003F4616"/>
    <w:rsid w:val="003F4C98"/>
    <w:rsid w:val="003F4F35"/>
    <w:rsid w:val="003F59F6"/>
    <w:rsid w:val="003F633D"/>
    <w:rsid w:val="003F69A8"/>
    <w:rsid w:val="003F7172"/>
    <w:rsid w:val="003F78F5"/>
    <w:rsid w:val="003F790F"/>
    <w:rsid w:val="0040063A"/>
    <w:rsid w:val="00400A37"/>
    <w:rsid w:val="00400DCC"/>
    <w:rsid w:val="00401E6E"/>
    <w:rsid w:val="004021C7"/>
    <w:rsid w:val="0040232E"/>
    <w:rsid w:val="004024F0"/>
    <w:rsid w:val="00403252"/>
    <w:rsid w:val="00403FBF"/>
    <w:rsid w:val="00405689"/>
    <w:rsid w:val="00405A47"/>
    <w:rsid w:val="00406200"/>
    <w:rsid w:val="00406933"/>
    <w:rsid w:val="00406F6F"/>
    <w:rsid w:val="00407279"/>
    <w:rsid w:val="0041036A"/>
    <w:rsid w:val="0041229D"/>
    <w:rsid w:val="00412B3D"/>
    <w:rsid w:val="00413C17"/>
    <w:rsid w:val="004145D8"/>
    <w:rsid w:val="00414D67"/>
    <w:rsid w:val="0041561A"/>
    <w:rsid w:val="0041583E"/>
    <w:rsid w:val="004168BA"/>
    <w:rsid w:val="0042054E"/>
    <w:rsid w:val="0042070D"/>
    <w:rsid w:val="00422E7C"/>
    <w:rsid w:val="00422F7E"/>
    <w:rsid w:val="004232CD"/>
    <w:rsid w:val="00424283"/>
    <w:rsid w:val="004249F2"/>
    <w:rsid w:val="00426549"/>
    <w:rsid w:val="00427099"/>
    <w:rsid w:val="004274B0"/>
    <w:rsid w:val="004275A6"/>
    <w:rsid w:val="00430146"/>
    <w:rsid w:val="0043035E"/>
    <w:rsid w:val="00431300"/>
    <w:rsid w:val="004313D8"/>
    <w:rsid w:val="00432614"/>
    <w:rsid w:val="00432C1F"/>
    <w:rsid w:val="00433726"/>
    <w:rsid w:val="00433B95"/>
    <w:rsid w:val="00433BD7"/>
    <w:rsid w:val="00434AD6"/>
    <w:rsid w:val="00434D8F"/>
    <w:rsid w:val="00435383"/>
    <w:rsid w:val="004354AD"/>
    <w:rsid w:val="00436742"/>
    <w:rsid w:val="00440257"/>
    <w:rsid w:val="00440320"/>
    <w:rsid w:val="004409FF"/>
    <w:rsid w:val="0044214C"/>
    <w:rsid w:val="004428BD"/>
    <w:rsid w:val="004429BD"/>
    <w:rsid w:val="00446AD1"/>
    <w:rsid w:val="00446AEB"/>
    <w:rsid w:val="00446C58"/>
    <w:rsid w:val="00446E4D"/>
    <w:rsid w:val="004502B4"/>
    <w:rsid w:val="00450A97"/>
    <w:rsid w:val="0045164A"/>
    <w:rsid w:val="004516D9"/>
    <w:rsid w:val="00451D7E"/>
    <w:rsid w:val="00453539"/>
    <w:rsid w:val="00453969"/>
    <w:rsid w:val="00454189"/>
    <w:rsid w:val="00454256"/>
    <w:rsid w:val="00455062"/>
    <w:rsid w:val="0045513A"/>
    <w:rsid w:val="0045540F"/>
    <w:rsid w:val="0045554A"/>
    <w:rsid w:val="0045600F"/>
    <w:rsid w:val="0045703D"/>
    <w:rsid w:val="00457423"/>
    <w:rsid w:val="0046073C"/>
    <w:rsid w:val="004607F5"/>
    <w:rsid w:val="00462020"/>
    <w:rsid w:val="004621F5"/>
    <w:rsid w:val="0046230F"/>
    <w:rsid w:val="00462E67"/>
    <w:rsid w:val="004638C4"/>
    <w:rsid w:val="00466255"/>
    <w:rsid w:val="00467622"/>
    <w:rsid w:val="00467E42"/>
    <w:rsid w:val="00470D32"/>
    <w:rsid w:val="00471006"/>
    <w:rsid w:val="0047218B"/>
    <w:rsid w:val="00472232"/>
    <w:rsid w:val="004734D8"/>
    <w:rsid w:val="0047457F"/>
    <w:rsid w:val="00474589"/>
    <w:rsid w:val="00474F24"/>
    <w:rsid w:val="00474FA9"/>
    <w:rsid w:val="00476BD9"/>
    <w:rsid w:val="00476FB3"/>
    <w:rsid w:val="004772DE"/>
    <w:rsid w:val="00477928"/>
    <w:rsid w:val="00477A7E"/>
    <w:rsid w:val="00477F08"/>
    <w:rsid w:val="0048078A"/>
    <w:rsid w:val="00480792"/>
    <w:rsid w:val="00480EA4"/>
    <w:rsid w:val="00481D9F"/>
    <w:rsid w:val="00482EE5"/>
    <w:rsid w:val="00483365"/>
    <w:rsid w:val="004840B1"/>
    <w:rsid w:val="004845C3"/>
    <w:rsid w:val="00485263"/>
    <w:rsid w:val="004854DD"/>
    <w:rsid w:val="0048580E"/>
    <w:rsid w:val="00485F22"/>
    <w:rsid w:val="004861B5"/>
    <w:rsid w:val="00486846"/>
    <w:rsid w:val="00490213"/>
    <w:rsid w:val="004902A9"/>
    <w:rsid w:val="004904E4"/>
    <w:rsid w:val="00491087"/>
    <w:rsid w:val="004911B6"/>
    <w:rsid w:val="00492431"/>
    <w:rsid w:val="0049250A"/>
    <w:rsid w:val="00492D17"/>
    <w:rsid w:val="004933F7"/>
    <w:rsid w:val="00494057"/>
    <w:rsid w:val="0049417D"/>
    <w:rsid w:val="00494280"/>
    <w:rsid w:val="00494DD0"/>
    <w:rsid w:val="0049511C"/>
    <w:rsid w:val="00495D5A"/>
    <w:rsid w:val="00495EF1"/>
    <w:rsid w:val="00496056"/>
    <w:rsid w:val="00496191"/>
    <w:rsid w:val="00497210"/>
    <w:rsid w:val="004A1580"/>
    <w:rsid w:val="004A23F0"/>
    <w:rsid w:val="004A2701"/>
    <w:rsid w:val="004A2AD2"/>
    <w:rsid w:val="004A2C2F"/>
    <w:rsid w:val="004A2E75"/>
    <w:rsid w:val="004A3103"/>
    <w:rsid w:val="004A435B"/>
    <w:rsid w:val="004A520F"/>
    <w:rsid w:val="004A562A"/>
    <w:rsid w:val="004A6195"/>
    <w:rsid w:val="004A66D2"/>
    <w:rsid w:val="004A6CCD"/>
    <w:rsid w:val="004A733B"/>
    <w:rsid w:val="004A7624"/>
    <w:rsid w:val="004B0A08"/>
    <w:rsid w:val="004B0B95"/>
    <w:rsid w:val="004B26CD"/>
    <w:rsid w:val="004B4F30"/>
    <w:rsid w:val="004B5D3C"/>
    <w:rsid w:val="004B6111"/>
    <w:rsid w:val="004B6EFF"/>
    <w:rsid w:val="004B73D2"/>
    <w:rsid w:val="004C0020"/>
    <w:rsid w:val="004C0304"/>
    <w:rsid w:val="004C0533"/>
    <w:rsid w:val="004C0694"/>
    <w:rsid w:val="004C1C9D"/>
    <w:rsid w:val="004C2308"/>
    <w:rsid w:val="004C329C"/>
    <w:rsid w:val="004C446A"/>
    <w:rsid w:val="004C447F"/>
    <w:rsid w:val="004C4E2D"/>
    <w:rsid w:val="004C4FFB"/>
    <w:rsid w:val="004C577B"/>
    <w:rsid w:val="004C5B21"/>
    <w:rsid w:val="004C682C"/>
    <w:rsid w:val="004C727E"/>
    <w:rsid w:val="004C7490"/>
    <w:rsid w:val="004C79CE"/>
    <w:rsid w:val="004C7B5A"/>
    <w:rsid w:val="004D2E20"/>
    <w:rsid w:val="004D320C"/>
    <w:rsid w:val="004D3F8A"/>
    <w:rsid w:val="004D43BC"/>
    <w:rsid w:val="004D4572"/>
    <w:rsid w:val="004D4D28"/>
    <w:rsid w:val="004D5123"/>
    <w:rsid w:val="004D5D7A"/>
    <w:rsid w:val="004D746E"/>
    <w:rsid w:val="004D7643"/>
    <w:rsid w:val="004D77D7"/>
    <w:rsid w:val="004E0635"/>
    <w:rsid w:val="004E10F7"/>
    <w:rsid w:val="004E124A"/>
    <w:rsid w:val="004E13FE"/>
    <w:rsid w:val="004E159E"/>
    <w:rsid w:val="004E2422"/>
    <w:rsid w:val="004E391A"/>
    <w:rsid w:val="004E3F1E"/>
    <w:rsid w:val="004E55B5"/>
    <w:rsid w:val="004E589E"/>
    <w:rsid w:val="004E6281"/>
    <w:rsid w:val="004E66C3"/>
    <w:rsid w:val="004E69AA"/>
    <w:rsid w:val="004E6A7C"/>
    <w:rsid w:val="004E76B6"/>
    <w:rsid w:val="004F063C"/>
    <w:rsid w:val="004F1018"/>
    <w:rsid w:val="004F20E0"/>
    <w:rsid w:val="004F253A"/>
    <w:rsid w:val="004F3D2E"/>
    <w:rsid w:val="004F4152"/>
    <w:rsid w:val="004F4BE7"/>
    <w:rsid w:val="004F508D"/>
    <w:rsid w:val="004F6C68"/>
    <w:rsid w:val="005005EF"/>
    <w:rsid w:val="00501481"/>
    <w:rsid w:val="0050171A"/>
    <w:rsid w:val="00502150"/>
    <w:rsid w:val="005026A0"/>
    <w:rsid w:val="005037D0"/>
    <w:rsid w:val="00504A8C"/>
    <w:rsid w:val="00505DC9"/>
    <w:rsid w:val="00506D6E"/>
    <w:rsid w:val="00507338"/>
    <w:rsid w:val="005079F2"/>
    <w:rsid w:val="00507B3D"/>
    <w:rsid w:val="00510913"/>
    <w:rsid w:val="00511023"/>
    <w:rsid w:val="0051258A"/>
    <w:rsid w:val="00512E52"/>
    <w:rsid w:val="00512FB9"/>
    <w:rsid w:val="0051536B"/>
    <w:rsid w:val="005156C0"/>
    <w:rsid w:val="00516E3C"/>
    <w:rsid w:val="00516FDF"/>
    <w:rsid w:val="00517265"/>
    <w:rsid w:val="00517986"/>
    <w:rsid w:val="005179B9"/>
    <w:rsid w:val="00517ED9"/>
    <w:rsid w:val="0052191C"/>
    <w:rsid w:val="00521B86"/>
    <w:rsid w:val="00522756"/>
    <w:rsid w:val="00523897"/>
    <w:rsid w:val="00523E68"/>
    <w:rsid w:val="0052483B"/>
    <w:rsid w:val="00524E09"/>
    <w:rsid w:val="00525D6A"/>
    <w:rsid w:val="00526C3D"/>
    <w:rsid w:val="00526DF5"/>
    <w:rsid w:val="005274B8"/>
    <w:rsid w:val="005276C3"/>
    <w:rsid w:val="00527CB1"/>
    <w:rsid w:val="00527DD5"/>
    <w:rsid w:val="00527F15"/>
    <w:rsid w:val="00530A5F"/>
    <w:rsid w:val="00532349"/>
    <w:rsid w:val="005328C3"/>
    <w:rsid w:val="00532C5D"/>
    <w:rsid w:val="00533E94"/>
    <w:rsid w:val="00533EF2"/>
    <w:rsid w:val="0053473A"/>
    <w:rsid w:val="00535C2E"/>
    <w:rsid w:val="00535ED1"/>
    <w:rsid w:val="005363ED"/>
    <w:rsid w:val="005402D6"/>
    <w:rsid w:val="005407D2"/>
    <w:rsid w:val="00540928"/>
    <w:rsid w:val="00541151"/>
    <w:rsid w:val="00541EEB"/>
    <w:rsid w:val="00542345"/>
    <w:rsid w:val="00542B67"/>
    <w:rsid w:val="0054330E"/>
    <w:rsid w:val="0054396D"/>
    <w:rsid w:val="00543BF9"/>
    <w:rsid w:val="0054455F"/>
    <w:rsid w:val="005447BD"/>
    <w:rsid w:val="005449C0"/>
    <w:rsid w:val="00545527"/>
    <w:rsid w:val="00545A4B"/>
    <w:rsid w:val="00546948"/>
    <w:rsid w:val="00546A47"/>
    <w:rsid w:val="0055134F"/>
    <w:rsid w:val="00551934"/>
    <w:rsid w:val="005524FE"/>
    <w:rsid w:val="00552724"/>
    <w:rsid w:val="00552D1D"/>
    <w:rsid w:val="00552F18"/>
    <w:rsid w:val="00553A99"/>
    <w:rsid w:val="00553B1B"/>
    <w:rsid w:val="00554308"/>
    <w:rsid w:val="00554923"/>
    <w:rsid w:val="00554A67"/>
    <w:rsid w:val="00554ACF"/>
    <w:rsid w:val="00554FC0"/>
    <w:rsid w:val="00555993"/>
    <w:rsid w:val="00555C00"/>
    <w:rsid w:val="00556A47"/>
    <w:rsid w:val="00556BB5"/>
    <w:rsid w:val="00557803"/>
    <w:rsid w:val="00560E9F"/>
    <w:rsid w:val="00561AFE"/>
    <w:rsid w:val="005621BC"/>
    <w:rsid w:val="00562AAC"/>
    <w:rsid w:val="005630C5"/>
    <w:rsid w:val="00564195"/>
    <w:rsid w:val="00566499"/>
    <w:rsid w:val="0056732C"/>
    <w:rsid w:val="00567CBA"/>
    <w:rsid w:val="00567EB8"/>
    <w:rsid w:val="00570011"/>
    <w:rsid w:val="00570A58"/>
    <w:rsid w:val="005712BE"/>
    <w:rsid w:val="00571486"/>
    <w:rsid w:val="005714AF"/>
    <w:rsid w:val="005721B1"/>
    <w:rsid w:val="00572289"/>
    <w:rsid w:val="00572A55"/>
    <w:rsid w:val="00572C2C"/>
    <w:rsid w:val="00573214"/>
    <w:rsid w:val="00573E01"/>
    <w:rsid w:val="00575159"/>
    <w:rsid w:val="00581171"/>
    <w:rsid w:val="005812C5"/>
    <w:rsid w:val="00581764"/>
    <w:rsid w:val="00581D0A"/>
    <w:rsid w:val="00582609"/>
    <w:rsid w:val="0058274F"/>
    <w:rsid w:val="00582F07"/>
    <w:rsid w:val="00583901"/>
    <w:rsid w:val="005841AA"/>
    <w:rsid w:val="0058494B"/>
    <w:rsid w:val="005852B2"/>
    <w:rsid w:val="005853AB"/>
    <w:rsid w:val="0058558E"/>
    <w:rsid w:val="0058774A"/>
    <w:rsid w:val="0059091B"/>
    <w:rsid w:val="00590C82"/>
    <w:rsid w:val="005913B9"/>
    <w:rsid w:val="00591553"/>
    <w:rsid w:val="00593BCA"/>
    <w:rsid w:val="00594BB7"/>
    <w:rsid w:val="00594BD1"/>
    <w:rsid w:val="00594C24"/>
    <w:rsid w:val="00596A1D"/>
    <w:rsid w:val="005976A0"/>
    <w:rsid w:val="005A1F9D"/>
    <w:rsid w:val="005A2FFF"/>
    <w:rsid w:val="005A30BC"/>
    <w:rsid w:val="005A4EDC"/>
    <w:rsid w:val="005A50FD"/>
    <w:rsid w:val="005A5441"/>
    <w:rsid w:val="005A567F"/>
    <w:rsid w:val="005A73D4"/>
    <w:rsid w:val="005A765B"/>
    <w:rsid w:val="005A7711"/>
    <w:rsid w:val="005B08C7"/>
    <w:rsid w:val="005B13F3"/>
    <w:rsid w:val="005B1733"/>
    <w:rsid w:val="005B1B9B"/>
    <w:rsid w:val="005B1D7D"/>
    <w:rsid w:val="005B2EA2"/>
    <w:rsid w:val="005B2F19"/>
    <w:rsid w:val="005B34E0"/>
    <w:rsid w:val="005B38DC"/>
    <w:rsid w:val="005B3A3F"/>
    <w:rsid w:val="005B3FA9"/>
    <w:rsid w:val="005B4608"/>
    <w:rsid w:val="005B4C9C"/>
    <w:rsid w:val="005B4F93"/>
    <w:rsid w:val="005B50B4"/>
    <w:rsid w:val="005B54D9"/>
    <w:rsid w:val="005B566A"/>
    <w:rsid w:val="005B61CC"/>
    <w:rsid w:val="005C02F9"/>
    <w:rsid w:val="005C0F95"/>
    <w:rsid w:val="005C117C"/>
    <w:rsid w:val="005C1393"/>
    <w:rsid w:val="005C14BF"/>
    <w:rsid w:val="005C1CBB"/>
    <w:rsid w:val="005C265E"/>
    <w:rsid w:val="005C398C"/>
    <w:rsid w:val="005C48F5"/>
    <w:rsid w:val="005C5148"/>
    <w:rsid w:val="005C5A7E"/>
    <w:rsid w:val="005C7154"/>
    <w:rsid w:val="005C7C3E"/>
    <w:rsid w:val="005C7E39"/>
    <w:rsid w:val="005D0808"/>
    <w:rsid w:val="005D132D"/>
    <w:rsid w:val="005D1980"/>
    <w:rsid w:val="005D21F3"/>
    <w:rsid w:val="005D2F12"/>
    <w:rsid w:val="005D31CA"/>
    <w:rsid w:val="005D32DB"/>
    <w:rsid w:val="005D4E01"/>
    <w:rsid w:val="005D4FE5"/>
    <w:rsid w:val="005D5343"/>
    <w:rsid w:val="005D5F8D"/>
    <w:rsid w:val="005E0245"/>
    <w:rsid w:val="005E0E62"/>
    <w:rsid w:val="005E0F44"/>
    <w:rsid w:val="005E1B2D"/>
    <w:rsid w:val="005E27F6"/>
    <w:rsid w:val="005E331D"/>
    <w:rsid w:val="005E43AB"/>
    <w:rsid w:val="005E493D"/>
    <w:rsid w:val="005E617F"/>
    <w:rsid w:val="005E6268"/>
    <w:rsid w:val="005E6FD2"/>
    <w:rsid w:val="005E7617"/>
    <w:rsid w:val="005E77DA"/>
    <w:rsid w:val="005F0C82"/>
    <w:rsid w:val="005F29BC"/>
    <w:rsid w:val="005F29D3"/>
    <w:rsid w:val="005F2A8E"/>
    <w:rsid w:val="005F30EF"/>
    <w:rsid w:val="005F3443"/>
    <w:rsid w:val="005F3D55"/>
    <w:rsid w:val="005F45B3"/>
    <w:rsid w:val="005F482B"/>
    <w:rsid w:val="005F535E"/>
    <w:rsid w:val="005F62EF"/>
    <w:rsid w:val="006013E2"/>
    <w:rsid w:val="0060174B"/>
    <w:rsid w:val="006017FE"/>
    <w:rsid w:val="00601FB4"/>
    <w:rsid w:val="00603AAC"/>
    <w:rsid w:val="00603B5F"/>
    <w:rsid w:val="00604E6E"/>
    <w:rsid w:val="006058F7"/>
    <w:rsid w:val="00605919"/>
    <w:rsid w:val="0060654A"/>
    <w:rsid w:val="00607B0E"/>
    <w:rsid w:val="00607F34"/>
    <w:rsid w:val="006104D1"/>
    <w:rsid w:val="00610A1F"/>
    <w:rsid w:val="006119DA"/>
    <w:rsid w:val="00612265"/>
    <w:rsid w:val="00612689"/>
    <w:rsid w:val="006146E2"/>
    <w:rsid w:val="00616452"/>
    <w:rsid w:val="006165E1"/>
    <w:rsid w:val="006166F4"/>
    <w:rsid w:val="0061790B"/>
    <w:rsid w:val="0062012C"/>
    <w:rsid w:val="00620C3A"/>
    <w:rsid w:val="00620D28"/>
    <w:rsid w:val="00621632"/>
    <w:rsid w:val="00621B3B"/>
    <w:rsid w:val="006226B6"/>
    <w:rsid w:val="00622790"/>
    <w:rsid w:val="00622A76"/>
    <w:rsid w:val="00623C37"/>
    <w:rsid w:val="00624B3C"/>
    <w:rsid w:val="00625CD5"/>
    <w:rsid w:val="00626614"/>
    <w:rsid w:val="00627B2E"/>
    <w:rsid w:val="00630431"/>
    <w:rsid w:val="0063057F"/>
    <w:rsid w:val="00630BDD"/>
    <w:rsid w:val="00630FDA"/>
    <w:rsid w:val="00631D30"/>
    <w:rsid w:val="006332BE"/>
    <w:rsid w:val="00633707"/>
    <w:rsid w:val="00635BE5"/>
    <w:rsid w:val="00635D3E"/>
    <w:rsid w:val="00636120"/>
    <w:rsid w:val="00636313"/>
    <w:rsid w:val="00636318"/>
    <w:rsid w:val="00637353"/>
    <w:rsid w:val="00640763"/>
    <w:rsid w:val="006409D3"/>
    <w:rsid w:val="00641C13"/>
    <w:rsid w:val="00642C40"/>
    <w:rsid w:val="00644287"/>
    <w:rsid w:val="00644421"/>
    <w:rsid w:val="00645FC4"/>
    <w:rsid w:val="0064663A"/>
    <w:rsid w:val="00646673"/>
    <w:rsid w:val="00646C2F"/>
    <w:rsid w:val="00646EC6"/>
    <w:rsid w:val="00647266"/>
    <w:rsid w:val="00650037"/>
    <w:rsid w:val="00650FE7"/>
    <w:rsid w:val="00651148"/>
    <w:rsid w:val="0065174C"/>
    <w:rsid w:val="00651B6E"/>
    <w:rsid w:val="00653342"/>
    <w:rsid w:val="00653CAA"/>
    <w:rsid w:val="00655D5D"/>
    <w:rsid w:val="00657108"/>
    <w:rsid w:val="0065791A"/>
    <w:rsid w:val="00657C6A"/>
    <w:rsid w:val="00660E48"/>
    <w:rsid w:val="006610C4"/>
    <w:rsid w:val="00661A65"/>
    <w:rsid w:val="006622A8"/>
    <w:rsid w:val="00662874"/>
    <w:rsid w:val="0066424F"/>
    <w:rsid w:val="00664676"/>
    <w:rsid w:val="006657E5"/>
    <w:rsid w:val="00666854"/>
    <w:rsid w:val="00667147"/>
    <w:rsid w:val="00667159"/>
    <w:rsid w:val="006678DA"/>
    <w:rsid w:val="00667E52"/>
    <w:rsid w:val="00670AB9"/>
    <w:rsid w:val="00670BAD"/>
    <w:rsid w:val="00671BEB"/>
    <w:rsid w:val="00671D3F"/>
    <w:rsid w:val="00671D65"/>
    <w:rsid w:val="00672195"/>
    <w:rsid w:val="006722E0"/>
    <w:rsid w:val="006736CA"/>
    <w:rsid w:val="00674134"/>
    <w:rsid w:val="0067456A"/>
    <w:rsid w:val="00674A17"/>
    <w:rsid w:val="00675230"/>
    <w:rsid w:val="00675830"/>
    <w:rsid w:val="0068004A"/>
    <w:rsid w:val="00680263"/>
    <w:rsid w:val="00680E63"/>
    <w:rsid w:val="006817CC"/>
    <w:rsid w:val="00681B35"/>
    <w:rsid w:val="00682D76"/>
    <w:rsid w:val="00684197"/>
    <w:rsid w:val="006855B0"/>
    <w:rsid w:val="00685885"/>
    <w:rsid w:val="006859A3"/>
    <w:rsid w:val="00686900"/>
    <w:rsid w:val="00687104"/>
    <w:rsid w:val="00687572"/>
    <w:rsid w:val="00687F37"/>
    <w:rsid w:val="00687F46"/>
    <w:rsid w:val="00690A5E"/>
    <w:rsid w:val="00690C51"/>
    <w:rsid w:val="006912DF"/>
    <w:rsid w:val="00692AD6"/>
    <w:rsid w:val="006932BF"/>
    <w:rsid w:val="0069372A"/>
    <w:rsid w:val="006937F6"/>
    <w:rsid w:val="00693DD3"/>
    <w:rsid w:val="00694954"/>
    <w:rsid w:val="006956AC"/>
    <w:rsid w:val="0069670E"/>
    <w:rsid w:val="00697248"/>
    <w:rsid w:val="00697ADC"/>
    <w:rsid w:val="00697CEF"/>
    <w:rsid w:val="006A0EA4"/>
    <w:rsid w:val="006A15C2"/>
    <w:rsid w:val="006A3074"/>
    <w:rsid w:val="006A3B3F"/>
    <w:rsid w:val="006A3E46"/>
    <w:rsid w:val="006A4C7F"/>
    <w:rsid w:val="006A58A0"/>
    <w:rsid w:val="006A5CDE"/>
    <w:rsid w:val="006A6FB9"/>
    <w:rsid w:val="006A70AB"/>
    <w:rsid w:val="006A7166"/>
    <w:rsid w:val="006A7B4B"/>
    <w:rsid w:val="006B0466"/>
    <w:rsid w:val="006B0E35"/>
    <w:rsid w:val="006B1161"/>
    <w:rsid w:val="006B2422"/>
    <w:rsid w:val="006B380B"/>
    <w:rsid w:val="006B3C38"/>
    <w:rsid w:val="006B40F2"/>
    <w:rsid w:val="006B42BF"/>
    <w:rsid w:val="006B7CE8"/>
    <w:rsid w:val="006B7D74"/>
    <w:rsid w:val="006B7E8A"/>
    <w:rsid w:val="006C11B4"/>
    <w:rsid w:val="006C1357"/>
    <w:rsid w:val="006C1644"/>
    <w:rsid w:val="006C1F6C"/>
    <w:rsid w:val="006C2FA4"/>
    <w:rsid w:val="006C3C60"/>
    <w:rsid w:val="006C43BA"/>
    <w:rsid w:val="006C5525"/>
    <w:rsid w:val="006C6913"/>
    <w:rsid w:val="006D0B23"/>
    <w:rsid w:val="006D1B32"/>
    <w:rsid w:val="006D1DFC"/>
    <w:rsid w:val="006D2FBA"/>
    <w:rsid w:val="006D3477"/>
    <w:rsid w:val="006D36BC"/>
    <w:rsid w:val="006D4CB0"/>
    <w:rsid w:val="006D581D"/>
    <w:rsid w:val="006D77C2"/>
    <w:rsid w:val="006E0CFB"/>
    <w:rsid w:val="006E16A7"/>
    <w:rsid w:val="006E1EA9"/>
    <w:rsid w:val="006E202C"/>
    <w:rsid w:val="006E2647"/>
    <w:rsid w:val="006E272F"/>
    <w:rsid w:val="006E28A2"/>
    <w:rsid w:val="006E2CF6"/>
    <w:rsid w:val="006E31F9"/>
    <w:rsid w:val="006E339E"/>
    <w:rsid w:val="006E35EA"/>
    <w:rsid w:val="006E384F"/>
    <w:rsid w:val="006E3E3A"/>
    <w:rsid w:val="006E40FD"/>
    <w:rsid w:val="006E4A27"/>
    <w:rsid w:val="006E4CE6"/>
    <w:rsid w:val="006E5143"/>
    <w:rsid w:val="006E5212"/>
    <w:rsid w:val="006E585F"/>
    <w:rsid w:val="006E65B5"/>
    <w:rsid w:val="006F11BE"/>
    <w:rsid w:val="006F2EC3"/>
    <w:rsid w:val="006F3371"/>
    <w:rsid w:val="006F3488"/>
    <w:rsid w:val="006F3AE9"/>
    <w:rsid w:val="006F3D14"/>
    <w:rsid w:val="006F49F1"/>
    <w:rsid w:val="006F5080"/>
    <w:rsid w:val="006F5156"/>
    <w:rsid w:val="006F6260"/>
    <w:rsid w:val="006F63AD"/>
    <w:rsid w:val="006F66F9"/>
    <w:rsid w:val="006F69CC"/>
    <w:rsid w:val="006F6B7B"/>
    <w:rsid w:val="006F6CE3"/>
    <w:rsid w:val="006F7CC3"/>
    <w:rsid w:val="007009A2"/>
    <w:rsid w:val="007029DA"/>
    <w:rsid w:val="00703ED4"/>
    <w:rsid w:val="00704056"/>
    <w:rsid w:val="00704173"/>
    <w:rsid w:val="007046CF"/>
    <w:rsid w:val="0070663B"/>
    <w:rsid w:val="00706658"/>
    <w:rsid w:val="00706DD8"/>
    <w:rsid w:val="0070753F"/>
    <w:rsid w:val="00710AB8"/>
    <w:rsid w:val="00710ABA"/>
    <w:rsid w:val="00710B84"/>
    <w:rsid w:val="00710F17"/>
    <w:rsid w:val="00711345"/>
    <w:rsid w:val="00711443"/>
    <w:rsid w:val="00711BCB"/>
    <w:rsid w:val="00713248"/>
    <w:rsid w:val="00714F0B"/>
    <w:rsid w:val="007152B0"/>
    <w:rsid w:val="00715367"/>
    <w:rsid w:val="007162D7"/>
    <w:rsid w:val="00716420"/>
    <w:rsid w:val="00716605"/>
    <w:rsid w:val="007179B0"/>
    <w:rsid w:val="00717A41"/>
    <w:rsid w:val="00717C71"/>
    <w:rsid w:val="007216E3"/>
    <w:rsid w:val="00721E0C"/>
    <w:rsid w:val="00721FD7"/>
    <w:rsid w:val="007220DD"/>
    <w:rsid w:val="0072263E"/>
    <w:rsid w:val="00722EF9"/>
    <w:rsid w:val="00723199"/>
    <w:rsid w:val="007231FE"/>
    <w:rsid w:val="00723EBE"/>
    <w:rsid w:val="00724063"/>
    <w:rsid w:val="00724977"/>
    <w:rsid w:val="0072637A"/>
    <w:rsid w:val="0072658C"/>
    <w:rsid w:val="00726983"/>
    <w:rsid w:val="007301D6"/>
    <w:rsid w:val="00732E0C"/>
    <w:rsid w:val="007345C2"/>
    <w:rsid w:val="007348EE"/>
    <w:rsid w:val="007354E3"/>
    <w:rsid w:val="00740B08"/>
    <w:rsid w:val="00741011"/>
    <w:rsid w:val="0074226C"/>
    <w:rsid w:val="0074241F"/>
    <w:rsid w:val="00742741"/>
    <w:rsid w:val="00743881"/>
    <w:rsid w:val="00744865"/>
    <w:rsid w:val="00744A56"/>
    <w:rsid w:val="00744FAC"/>
    <w:rsid w:val="00745A96"/>
    <w:rsid w:val="0074617D"/>
    <w:rsid w:val="007466A1"/>
    <w:rsid w:val="00746EB4"/>
    <w:rsid w:val="00747224"/>
    <w:rsid w:val="007515F9"/>
    <w:rsid w:val="00751850"/>
    <w:rsid w:val="00751B64"/>
    <w:rsid w:val="00752711"/>
    <w:rsid w:val="00753A85"/>
    <w:rsid w:val="00753BAE"/>
    <w:rsid w:val="00754716"/>
    <w:rsid w:val="007559B4"/>
    <w:rsid w:val="00755A9A"/>
    <w:rsid w:val="0075698E"/>
    <w:rsid w:val="00756A8D"/>
    <w:rsid w:val="00757259"/>
    <w:rsid w:val="00757ACE"/>
    <w:rsid w:val="00760DC9"/>
    <w:rsid w:val="00761466"/>
    <w:rsid w:val="0076161F"/>
    <w:rsid w:val="00761E21"/>
    <w:rsid w:val="0076309B"/>
    <w:rsid w:val="0076451E"/>
    <w:rsid w:val="00764C47"/>
    <w:rsid w:val="00764CA0"/>
    <w:rsid w:val="00765042"/>
    <w:rsid w:val="00765F3A"/>
    <w:rsid w:val="007665C6"/>
    <w:rsid w:val="00766AB2"/>
    <w:rsid w:val="0076796B"/>
    <w:rsid w:val="007707A0"/>
    <w:rsid w:val="00773C21"/>
    <w:rsid w:val="00773D92"/>
    <w:rsid w:val="00773E2C"/>
    <w:rsid w:val="007747E6"/>
    <w:rsid w:val="00774CDE"/>
    <w:rsid w:val="00774D77"/>
    <w:rsid w:val="00774F40"/>
    <w:rsid w:val="00775351"/>
    <w:rsid w:val="007753CC"/>
    <w:rsid w:val="00775758"/>
    <w:rsid w:val="0077596D"/>
    <w:rsid w:val="00776790"/>
    <w:rsid w:val="00777577"/>
    <w:rsid w:val="00781CA7"/>
    <w:rsid w:val="007831C3"/>
    <w:rsid w:val="00783660"/>
    <w:rsid w:val="00783677"/>
    <w:rsid w:val="00783FB0"/>
    <w:rsid w:val="00784076"/>
    <w:rsid w:val="0078505F"/>
    <w:rsid w:val="0078565E"/>
    <w:rsid w:val="00785B46"/>
    <w:rsid w:val="0078622C"/>
    <w:rsid w:val="00786A06"/>
    <w:rsid w:val="00786ABE"/>
    <w:rsid w:val="007872A4"/>
    <w:rsid w:val="0078758A"/>
    <w:rsid w:val="0078761B"/>
    <w:rsid w:val="00790CF4"/>
    <w:rsid w:val="00791434"/>
    <w:rsid w:val="0079179C"/>
    <w:rsid w:val="0079340B"/>
    <w:rsid w:val="0079373E"/>
    <w:rsid w:val="0079431A"/>
    <w:rsid w:val="00794565"/>
    <w:rsid w:val="007945BD"/>
    <w:rsid w:val="007954D5"/>
    <w:rsid w:val="00795B2B"/>
    <w:rsid w:val="00796E69"/>
    <w:rsid w:val="00797546"/>
    <w:rsid w:val="00797FCF"/>
    <w:rsid w:val="007A0400"/>
    <w:rsid w:val="007A07BC"/>
    <w:rsid w:val="007A142A"/>
    <w:rsid w:val="007A1A6C"/>
    <w:rsid w:val="007A20AB"/>
    <w:rsid w:val="007A282D"/>
    <w:rsid w:val="007A2D0F"/>
    <w:rsid w:val="007A3006"/>
    <w:rsid w:val="007A3382"/>
    <w:rsid w:val="007A33F9"/>
    <w:rsid w:val="007A3BD8"/>
    <w:rsid w:val="007A4412"/>
    <w:rsid w:val="007A4616"/>
    <w:rsid w:val="007A543E"/>
    <w:rsid w:val="007A60BA"/>
    <w:rsid w:val="007A7456"/>
    <w:rsid w:val="007A79E3"/>
    <w:rsid w:val="007B02F8"/>
    <w:rsid w:val="007B0B8E"/>
    <w:rsid w:val="007B0F2B"/>
    <w:rsid w:val="007B114D"/>
    <w:rsid w:val="007B16F3"/>
    <w:rsid w:val="007B28F2"/>
    <w:rsid w:val="007B2E90"/>
    <w:rsid w:val="007B2EEA"/>
    <w:rsid w:val="007B381F"/>
    <w:rsid w:val="007B437E"/>
    <w:rsid w:val="007B470D"/>
    <w:rsid w:val="007B4C80"/>
    <w:rsid w:val="007B52D4"/>
    <w:rsid w:val="007B56CE"/>
    <w:rsid w:val="007B6120"/>
    <w:rsid w:val="007B6A31"/>
    <w:rsid w:val="007B7BDD"/>
    <w:rsid w:val="007B7BEA"/>
    <w:rsid w:val="007C07FF"/>
    <w:rsid w:val="007C11BB"/>
    <w:rsid w:val="007C1283"/>
    <w:rsid w:val="007C15A2"/>
    <w:rsid w:val="007C167C"/>
    <w:rsid w:val="007C16E8"/>
    <w:rsid w:val="007C197F"/>
    <w:rsid w:val="007C1F15"/>
    <w:rsid w:val="007C4126"/>
    <w:rsid w:val="007C4378"/>
    <w:rsid w:val="007C477A"/>
    <w:rsid w:val="007C47CE"/>
    <w:rsid w:val="007C56E5"/>
    <w:rsid w:val="007C7C25"/>
    <w:rsid w:val="007C7DE2"/>
    <w:rsid w:val="007C7F11"/>
    <w:rsid w:val="007C7F57"/>
    <w:rsid w:val="007D1471"/>
    <w:rsid w:val="007D1F9E"/>
    <w:rsid w:val="007D2777"/>
    <w:rsid w:val="007D2A26"/>
    <w:rsid w:val="007D3798"/>
    <w:rsid w:val="007D38D1"/>
    <w:rsid w:val="007D413B"/>
    <w:rsid w:val="007D4F26"/>
    <w:rsid w:val="007D4FFF"/>
    <w:rsid w:val="007D5539"/>
    <w:rsid w:val="007D6E0E"/>
    <w:rsid w:val="007D70C6"/>
    <w:rsid w:val="007D7A54"/>
    <w:rsid w:val="007E00D1"/>
    <w:rsid w:val="007E0872"/>
    <w:rsid w:val="007E0D32"/>
    <w:rsid w:val="007E12E8"/>
    <w:rsid w:val="007E1743"/>
    <w:rsid w:val="007E23B5"/>
    <w:rsid w:val="007E263B"/>
    <w:rsid w:val="007E3280"/>
    <w:rsid w:val="007E3545"/>
    <w:rsid w:val="007E3B87"/>
    <w:rsid w:val="007E4EF0"/>
    <w:rsid w:val="007F20EC"/>
    <w:rsid w:val="007F5A78"/>
    <w:rsid w:val="007F6339"/>
    <w:rsid w:val="007F6F30"/>
    <w:rsid w:val="00800046"/>
    <w:rsid w:val="00800676"/>
    <w:rsid w:val="00802AB3"/>
    <w:rsid w:val="00802E39"/>
    <w:rsid w:val="00802FF9"/>
    <w:rsid w:val="0080321C"/>
    <w:rsid w:val="00804B0B"/>
    <w:rsid w:val="00805FF9"/>
    <w:rsid w:val="00807F10"/>
    <w:rsid w:val="0081017E"/>
    <w:rsid w:val="00810432"/>
    <w:rsid w:val="00811B5A"/>
    <w:rsid w:val="00811E62"/>
    <w:rsid w:val="0081296C"/>
    <w:rsid w:val="00812A44"/>
    <w:rsid w:val="00812C79"/>
    <w:rsid w:val="00813142"/>
    <w:rsid w:val="008132A3"/>
    <w:rsid w:val="0081421C"/>
    <w:rsid w:val="00814745"/>
    <w:rsid w:val="00814AD9"/>
    <w:rsid w:val="00814E9C"/>
    <w:rsid w:val="0081507B"/>
    <w:rsid w:val="0081507E"/>
    <w:rsid w:val="00816A4B"/>
    <w:rsid w:val="008201D3"/>
    <w:rsid w:val="00822088"/>
    <w:rsid w:val="00822D68"/>
    <w:rsid w:val="00823703"/>
    <w:rsid w:val="00823A2E"/>
    <w:rsid w:val="0082431A"/>
    <w:rsid w:val="008261FE"/>
    <w:rsid w:val="00826C67"/>
    <w:rsid w:val="008279F5"/>
    <w:rsid w:val="00827C7A"/>
    <w:rsid w:val="00831072"/>
    <w:rsid w:val="0083254E"/>
    <w:rsid w:val="00833226"/>
    <w:rsid w:val="00833758"/>
    <w:rsid w:val="0083458C"/>
    <w:rsid w:val="00834C1E"/>
    <w:rsid w:val="0083594A"/>
    <w:rsid w:val="0083603D"/>
    <w:rsid w:val="008376A0"/>
    <w:rsid w:val="00837747"/>
    <w:rsid w:val="008378FC"/>
    <w:rsid w:val="00837DE6"/>
    <w:rsid w:val="0084020C"/>
    <w:rsid w:val="00842063"/>
    <w:rsid w:val="00844053"/>
    <w:rsid w:val="00844454"/>
    <w:rsid w:val="00845A8B"/>
    <w:rsid w:val="00846136"/>
    <w:rsid w:val="0084622D"/>
    <w:rsid w:val="0084630E"/>
    <w:rsid w:val="0084662C"/>
    <w:rsid w:val="008470F8"/>
    <w:rsid w:val="008478D0"/>
    <w:rsid w:val="00850B97"/>
    <w:rsid w:val="008513DB"/>
    <w:rsid w:val="00851A32"/>
    <w:rsid w:val="008520BE"/>
    <w:rsid w:val="008535F4"/>
    <w:rsid w:val="008537F0"/>
    <w:rsid w:val="0085409B"/>
    <w:rsid w:val="00854963"/>
    <w:rsid w:val="00854C35"/>
    <w:rsid w:val="008551EB"/>
    <w:rsid w:val="0085562B"/>
    <w:rsid w:val="00855736"/>
    <w:rsid w:val="00855B4A"/>
    <w:rsid w:val="00856C7F"/>
    <w:rsid w:val="00857012"/>
    <w:rsid w:val="008572A3"/>
    <w:rsid w:val="00860505"/>
    <w:rsid w:val="00861054"/>
    <w:rsid w:val="0086120D"/>
    <w:rsid w:val="008624EA"/>
    <w:rsid w:val="008639E1"/>
    <w:rsid w:val="00863ACC"/>
    <w:rsid w:val="00864905"/>
    <w:rsid w:val="00865074"/>
    <w:rsid w:val="00865595"/>
    <w:rsid w:val="00866046"/>
    <w:rsid w:val="008665BC"/>
    <w:rsid w:val="008667E2"/>
    <w:rsid w:val="00866A5C"/>
    <w:rsid w:val="00866CE2"/>
    <w:rsid w:val="00870909"/>
    <w:rsid w:val="00870C28"/>
    <w:rsid w:val="00871790"/>
    <w:rsid w:val="008727F7"/>
    <w:rsid w:val="00873B61"/>
    <w:rsid w:val="00874268"/>
    <w:rsid w:val="00876FF0"/>
    <w:rsid w:val="008775C0"/>
    <w:rsid w:val="00877EB4"/>
    <w:rsid w:val="00880691"/>
    <w:rsid w:val="00880D15"/>
    <w:rsid w:val="00882625"/>
    <w:rsid w:val="00882C9D"/>
    <w:rsid w:val="00883042"/>
    <w:rsid w:val="00883FBD"/>
    <w:rsid w:val="00885AEA"/>
    <w:rsid w:val="008866BE"/>
    <w:rsid w:val="008867C4"/>
    <w:rsid w:val="00887029"/>
    <w:rsid w:val="00890028"/>
    <w:rsid w:val="00890236"/>
    <w:rsid w:val="00892668"/>
    <w:rsid w:val="008928C8"/>
    <w:rsid w:val="00892A56"/>
    <w:rsid w:val="00894EB8"/>
    <w:rsid w:val="00895E06"/>
    <w:rsid w:val="00896522"/>
    <w:rsid w:val="008977DB"/>
    <w:rsid w:val="008A072F"/>
    <w:rsid w:val="008A1729"/>
    <w:rsid w:val="008A29B1"/>
    <w:rsid w:val="008A2BB1"/>
    <w:rsid w:val="008A371C"/>
    <w:rsid w:val="008A3947"/>
    <w:rsid w:val="008A6577"/>
    <w:rsid w:val="008B101A"/>
    <w:rsid w:val="008B13C0"/>
    <w:rsid w:val="008B1C71"/>
    <w:rsid w:val="008B20EF"/>
    <w:rsid w:val="008B2606"/>
    <w:rsid w:val="008B293E"/>
    <w:rsid w:val="008B31C0"/>
    <w:rsid w:val="008B38B9"/>
    <w:rsid w:val="008B4AF9"/>
    <w:rsid w:val="008B52E8"/>
    <w:rsid w:val="008B5A6D"/>
    <w:rsid w:val="008B7288"/>
    <w:rsid w:val="008B7340"/>
    <w:rsid w:val="008B7FA8"/>
    <w:rsid w:val="008C012F"/>
    <w:rsid w:val="008C2C3A"/>
    <w:rsid w:val="008C2F5C"/>
    <w:rsid w:val="008C2F9C"/>
    <w:rsid w:val="008C3301"/>
    <w:rsid w:val="008C4D0E"/>
    <w:rsid w:val="008C55C7"/>
    <w:rsid w:val="008C5C78"/>
    <w:rsid w:val="008C62F9"/>
    <w:rsid w:val="008C677D"/>
    <w:rsid w:val="008C6B28"/>
    <w:rsid w:val="008C717E"/>
    <w:rsid w:val="008C7E46"/>
    <w:rsid w:val="008D018E"/>
    <w:rsid w:val="008D03B4"/>
    <w:rsid w:val="008D0A1C"/>
    <w:rsid w:val="008D1535"/>
    <w:rsid w:val="008D2AD9"/>
    <w:rsid w:val="008D2C4E"/>
    <w:rsid w:val="008D3CB3"/>
    <w:rsid w:val="008D477A"/>
    <w:rsid w:val="008D66D5"/>
    <w:rsid w:val="008D7101"/>
    <w:rsid w:val="008D7578"/>
    <w:rsid w:val="008D7B32"/>
    <w:rsid w:val="008D7B76"/>
    <w:rsid w:val="008E073D"/>
    <w:rsid w:val="008E0D69"/>
    <w:rsid w:val="008E1695"/>
    <w:rsid w:val="008E2425"/>
    <w:rsid w:val="008E2B61"/>
    <w:rsid w:val="008E44EA"/>
    <w:rsid w:val="008E465C"/>
    <w:rsid w:val="008E5539"/>
    <w:rsid w:val="008E5EA5"/>
    <w:rsid w:val="008E615C"/>
    <w:rsid w:val="008E654C"/>
    <w:rsid w:val="008E66A9"/>
    <w:rsid w:val="008E6EF1"/>
    <w:rsid w:val="008E7484"/>
    <w:rsid w:val="008E7F35"/>
    <w:rsid w:val="008F01E2"/>
    <w:rsid w:val="008F0FB7"/>
    <w:rsid w:val="008F21AC"/>
    <w:rsid w:val="008F24E6"/>
    <w:rsid w:val="008F3711"/>
    <w:rsid w:val="008F3B4D"/>
    <w:rsid w:val="008F3F15"/>
    <w:rsid w:val="008F40F4"/>
    <w:rsid w:val="008F48F3"/>
    <w:rsid w:val="008F4E02"/>
    <w:rsid w:val="008F5780"/>
    <w:rsid w:val="008F5BA8"/>
    <w:rsid w:val="008F5DE7"/>
    <w:rsid w:val="008F6CAF"/>
    <w:rsid w:val="008F6E38"/>
    <w:rsid w:val="008F7052"/>
    <w:rsid w:val="008F7143"/>
    <w:rsid w:val="008F7249"/>
    <w:rsid w:val="008F7673"/>
    <w:rsid w:val="008F7B0A"/>
    <w:rsid w:val="00901BB0"/>
    <w:rsid w:val="00902551"/>
    <w:rsid w:val="0090258D"/>
    <w:rsid w:val="009027D9"/>
    <w:rsid w:val="00902B2D"/>
    <w:rsid w:val="00902DC3"/>
    <w:rsid w:val="00902EC9"/>
    <w:rsid w:val="00904624"/>
    <w:rsid w:val="009053D3"/>
    <w:rsid w:val="00906276"/>
    <w:rsid w:val="0090698B"/>
    <w:rsid w:val="0090758B"/>
    <w:rsid w:val="00907DC5"/>
    <w:rsid w:val="00910D30"/>
    <w:rsid w:val="00913F4D"/>
    <w:rsid w:val="00914112"/>
    <w:rsid w:val="00914365"/>
    <w:rsid w:val="00914ABF"/>
    <w:rsid w:val="00915097"/>
    <w:rsid w:val="00915614"/>
    <w:rsid w:val="00915C0A"/>
    <w:rsid w:val="00915D8C"/>
    <w:rsid w:val="00916736"/>
    <w:rsid w:val="009201B1"/>
    <w:rsid w:val="0092205A"/>
    <w:rsid w:val="009222B3"/>
    <w:rsid w:val="009235A5"/>
    <w:rsid w:val="00925741"/>
    <w:rsid w:val="0092661D"/>
    <w:rsid w:val="0092770A"/>
    <w:rsid w:val="009278E6"/>
    <w:rsid w:val="00927DE4"/>
    <w:rsid w:val="00927F31"/>
    <w:rsid w:val="0093066B"/>
    <w:rsid w:val="00930929"/>
    <w:rsid w:val="00930C34"/>
    <w:rsid w:val="00930D24"/>
    <w:rsid w:val="00931900"/>
    <w:rsid w:val="0093404B"/>
    <w:rsid w:val="009347BB"/>
    <w:rsid w:val="009349F4"/>
    <w:rsid w:val="00934EDC"/>
    <w:rsid w:val="00935B23"/>
    <w:rsid w:val="00936C73"/>
    <w:rsid w:val="00937736"/>
    <w:rsid w:val="00940203"/>
    <w:rsid w:val="00940937"/>
    <w:rsid w:val="00940C2A"/>
    <w:rsid w:val="0094181A"/>
    <w:rsid w:val="00942339"/>
    <w:rsid w:val="009423E0"/>
    <w:rsid w:val="00942B0A"/>
    <w:rsid w:val="009430EE"/>
    <w:rsid w:val="00943C95"/>
    <w:rsid w:val="00943F58"/>
    <w:rsid w:val="0094408D"/>
    <w:rsid w:val="009441CC"/>
    <w:rsid w:val="00944529"/>
    <w:rsid w:val="009445C9"/>
    <w:rsid w:val="00945CD8"/>
    <w:rsid w:val="0094612E"/>
    <w:rsid w:val="009462A0"/>
    <w:rsid w:val="009464FA"/>
    <w:rsid w:val="00946A66"/>
    <w:rsid w:val="00946B01"/>
    <w:rsid w:val="00946F26"/>
    <w:rsid w:val="0094784B"/>
    <w:rsid w:val="00947F2A"/>
    <w:rsid w:val="00950127"/>
    <w:rsid w:val="00950823"/>
    <w:rsid w:val="0095117F"/>
    <w:rsid w:val="009516EB"/>
    <w:rsid w:val="0095227E"/>
    <w:rsid w:val="00952AB5"/>
    <w:rsid w:val="00952C20"/>
    <w:rsid w:val="00953628"/>
    <w:rsid w:val="00953704"/>
    <w:rsid w:val="0095489E"/>
    <w:rsid w:val="00955284"/>
    <w:rsid w:val="00955B2A"/>
    <w:rsid w:val="00955E4C"/>
    <w:rsid w:val="00956D42"/>
    <w:rsid w:val="00956E6E"/>
    <w:rsid w:val="009571D3"/>
    <w:rsid w:val="00957943"/>
    <w:rsid w:val="009620FE"/>
    <w:rsid w:val="00962A4D"/>
    <w:rsid w:val="009631B3"/>
    <w:rsid w:val="00964007"/>
    <w:rsid w:val="009643AC"/>
    <w:rsid w:val="00965B1D"/>
    <w:rsid w:val="0096686E"/>
    <w:rsid w:val="0097020B"/>
    <w:rsid w:val="00971128"/>
    <w:rsid w:val="0097222E"/>
    <w:rsid w:val="00973561"/>
    <w:rsid w:val="00973C08"/>
    <w:rsid w:val="00974254"/>
    <w:rsid w:val="00974F71"/>
    <w:rsid w:val="00976746"/>
    <w:rsid w:val="009767DD"/>
    <w:rsid w:val="00976BDC"/>
    <w:rsid w:val="00977569"/>
    <w:rsid w:val="00977D2D"/>
    <w:rsid w:val="0098115C"/>
    <w:rsid w:val="00981885"/>
    <w:rsid w:val="00981D32"/>
    <w:rsid w:val="0098225F"/>
    <w:rsid w:val="0098245F"/>
    <w:rsid w:val="00983AA6"/>
    <w:rsid w:val="00984E23"/>
    <w:rsid w:val="0098563E"/>
    <w:rsid w:val="00985AE7"/>
    <w:rsid w:val="00986912"/>
    <w:rsid w:val="009875D6"/>
    <w:rsid w:val="00987ABA"/>
    <w:rsid w:val="0099030A"/>
    <w:rsid w:val="00992578"/>
    <w:rsid w:val="0099290C"/>
    <w:rsid w:val="00992D49"/>
    <w:rsid w:val="00993684"/>
    <w:rsid w:val="00994779"/>
    <w:rsid w:val="00994A63"/>
    <w:rsid w:val="0099656C"/>
    <w:rsid w:val="00997073"/>
    <w:rsid w:val="0099771F"/>
    <w:rsid w:val="00997CE7"/>
    <w:rsid w:val="009A010B"/>
    <w:rsid w:val="009A058E"/>
    <w:rsid w:val="009A1B77"/>
    <w:rsid w:val="009A296C"/>
    <w:rsid w:val="009A466C"/>
    <w:rsid w:val="009A4672"/>
    <w:rsid w:val="009A5276"/>
    <w:rsid w:val="009A55D3"/>
    <w:rsid w:val="009A5709"/>
    <w:rsid w:val="009A6251"/>
    <w:rsid w:val="009A730F"/>
    <w:rsid w:val="009B07A2"/>
    <w:rsid w:val="009B097E"/>
    <w:rsid w:val="009B0CAE"/>
    <w:rsid w:val="009B1398"/>
    <w:rsid w:val="009B13BF"/>
    <w:rsid w:val="009B16F1"/>
    <w:rsid w:val="009B1C61"/>
    <w:rsid w:val="009B2469"/>
    <w:rsid w:val="009B24F2"/>
    <w:rsid w:val="009B2B24"/>
    <w:rsid w:val="009B2D15"/>
    <w:rsid w:val="009B312C"/>
    <w:rsid w:val="009B342B"/>
    <w:rsid w:val="009B3560"/>
    <w:rsid w:val="009B39F7"/>
    <w:rsid w:val="009B509B"/>
    <w:rsid w:val="009B5BB4"/>
    <w:rsid w:val="009C0A66"/>
    <w:rsid w:val="009C2035"/>
    <w:rsid w:val="009C2A1C"/>
    <w:rsid w:val="009C3945"/>
    <w:rsid w:val="009C54DB"/>
    <w:rsid w:val="009C5655"/>
    <w:rsid w:val="009C576A"/>
    <w:rsid w:val="009C5A0D"/>
    <w:rsid w:val="009C63FF"/>
    <w:rsid w:val="009C754A"/>
    <w:rsid w:val="009D1A79"/>
    <w:rsid w:val="009D3680"/>
    <w:rsid w:val="009D3BE5"/>
    <w:rsid w:val="009D4181"/>
    <w:rsid w:val="009D66AC"/>
    <w:rsid w:val="009E2403"/>
    <w:rsid w:val="009E261E"/>
    <w:rsid w:val="009E282A"/>
    <w:rsid w:val="009E2BE5"/>
    <w:rsid w:val="009E2F24"/>
    <w:rsid w:val="009E39E9"/>
    <w:rsid w:val="009E46E8"/>
    <w:rsid w:val="009E5B64"/>
    <w:rsid w:val="009E71E7"/>
    <w:rsid w:val="009F01D5"/>
    <w:rsid w:val="009F0C40"/>
    <w:rsid w:val="009F12FD"/>
    <w:rsid w:val="009F13B9"/>
    <w:rsid w:val="009F1B4F"/>
    <w:rsid w:val="009F376B"/>
    <w:rsid w:val="009F474E"/>
    <w:rsid w:val="009F50E4"/>
    <w:rsid w:val="009F5692"/>
    <w:rsid w:val="009F585E"/>
    <w:rsid w:val="009F5E38"/>
    <w:rsid w:val="009F6C3E"/>
    <w:rsid w:val="009F70FB"/>
    <w:rsid w:val="009F72AA"/>
    <w:rsid w:val="009F7C76"/>
    <w:rsid w:val="00A006F1"/>
    <w:rsid w:val="00A024DE"/>
    <w:rsid w:val="00A03381"/>
    <w:rsid w:val="00A03CA3"/>
    <w:rsid w:val="00A04BE2"/>
    <w:rsid w:val="00A05142"/>
    <w:rsid w:val="00A0538C"/>
    <w:rsid w:val="00A068CB"/>
    <w:rsid w:val="00A068DA"/>
    <w:rsid w:val="00A11013"/>
    <w:rsid w:val="00A1122C"/>
    <w:rsid w:val="00A117B0"/>
    <w:rsid w:val="00A1396A"/>
    <w:rsid w:val="00A143E6"/>
    <w:rsid w:val="00A15961"/>
    <w:rsid w:val="00A15B02"/>
    <w:rsid w:val="00A163C1"/>
    <w:rsid w:val="00A16E44"/>
    <w:rsid w:val="00A1704E"/>
    <w:rsid w:val="00A177BB"/>
    <w:rsid w:val="00A201CE"/>
    <w:rsid w:val="00A235AF"/>
    <w:rsid w:val="00A23B3A"/>
    <w:rsid w:val="00A23F38"/>
    <w:rsid w:val="00A25E9D"/>
    <w:rsid w:val="00A26952"/>
    <w:rsid w:val="00A27018"/>
    <w:rsid w:val="00A302FF"/>
    <w:rsid w:val="00A3143C"/>
    <w:rsid w:val="00A32EE8"/>
    <w:rsid w:val="00A33232"/>
    <w:rsid w:val="00A33D83"/>
    <w:rsid w:val="00A346FD"/>
    <w:rsid w:val="00A347CE"/>
    <w:rsid w:val="00A35743"/>
    <w:rsid w:val="00A358FC"/>
    <w:rsid w:val="00A3595C"/>
    <w:rsid w:val="00A35C55"/>
    <w:rsid w:val="00A35C9D"/>
    <w:rsid w:val="00A365A2"/>
    <w:rsid w:val="00A370FC"/>
    <w:rsid w:val="00A37D13"/>
    <w:rsid w:val="00A402C2"/>
    <w:rsid w:val="00A403DE"/>
    <w:rsid w:val="00A40703"/>
    <w:rsid w:val="00A40DD5"/>
    <w:rsid w:val="00A40F88"/>
    <w:rsid w:val="00A415E0"/>
    <w:rsid w:val="00A42188"/>
    <w:rsid w:val="00A42F2D"/>
    <w:rsid w:val="00A42F7D"/>
    <w:rsid w:val="00A43BAF"/>
    <w:rsid w:val="00A44097"/>
    <w:rsid w:val="00A444D1"/>
    <w:rsid w:val="00A44C76"/>
    <w:rsid w:val="00A45431"/>
    <w:rsid w:val="00A455FD"/>
    <w:rsid w:val="00A4666C"/>
    <w:rsid w:val="00A46924"/>
    <w:rsid w:val="00A469D9"/>
    <w:rsid w:val="00A469DF"/>
    <w:rsid w:val="00A46D13"/>
    <w:rsid w:val="00A46E22"/>
    <w:rsid w:val="00A47574"/>
    <w:rsid w:val="00A50B7D"/>
    <w:rsid w:val="00A50D7B"/>
    <w:rsid w:val="00A5111F"/>
    <w:rsid w:val="00A511E5"/>
    <w:rsid w:val="00A513FC"/>
    <w:rsid w:val="00A519AD"/>
    <w:rsid w:val="00A51EE8"/>
    <w:rsid w:val="00A51FEC"/>
    <w:rsid w:val="00A534E5"/>
    <w:rsid w:val="00A53A79"/>
    <w:rsid w:val="00A541A4"/>
    <w:rsid w:val="00A54FED"/>
    <w:rsid w:val="00A55BEF"/>
    <w:rsid w:val="00A57008"/>
    <w:rsid w:val="00A6039F"/>
    <w:rsid w:val="00A6054A"/>
    <w:rsid w:val="00A60D1B"/>
    <w:rsid w:val="00A6133A"/>
    <w:rsid w:val="00A61789"/>
    <w:rsid w:val="00A61C2C"/>
    <w:rsid w:val="00A61DEB"/>
    <w:rsid w:val="00A62880"/>
    <w:rsid w:val="00A631F5"/>
    <w:rsid w:val="00A63357"/>
    <w:rsid w:val="00A6374E"/>
    <w:rsid w:val="00A64417"/>
    <w:rsid w:val="00A648A8"/>
    <w:rsid w:val="00A6592C"/>
    <w:rsid w:val="00A6643E"/>
    <w:rsid w:val="00A6743B"/>
    <w:rsid w:val="00A6781D"/>
    <w:rsid w:val="00A71403"/>
    <w:rsid w:val="00A71771"/>
    <w:rsid w:val="00A720D2"/>
    <w:rsid w:val="00A725A8"/>
    <w:rsid w:val="00A732D8"/>
    <w:rsid w:val="00A733FD"/>
    <w:rsid w:val="00A74460"/>
    <w:rsid w:val="00A74528"/>
    <w:rsid w:val="00A76119"/>
    <w:rsid w:val="00A761A5"/>
    <w:rsid w:val="00A76822"/>
    <w:rsid w:val="00A76E8B"/>
    <w:rsid w:val="00A76FA6"/>
    <w:rsid w:val="00A7718F"/>
    <w:rsid w:val="00A80B47"/>
    <w:rsid w:val="00A80C1C"/>
    <w:rsid w:val="00A8164D"/>
    <w:rsid w:val="00A81BF2"/>
    <w:rsid w:val="00A82264"/>
    <w:rsid w:val="00A82446"/>
    <w:rsid w:val="00A83498"/>
    <w:rsid w:val="00A83836"/>
    <w:rsid w:val="00A862BB"/>
    <w:rsid w:val="00A87532"/>
    <w:rsid w:val="00A87BAF"/>
    <w:rsid w:val="00A903DB"/>
    <w:rsid w:val="00A9059A"/>
    <w:rsid w:val="00A90B10"/>
    <w:rsid w:val="00A91543"/>
    <w:rsid w:val="00A91CD7"/>
    <w:rsid w:val="00A91D33"/>
    <w:rsid w:val="00A92844"/>
    <w:rsid w:val="00A9364A"/>
    <w:rsid w:val="00A93B87"/>
    <w:rsid w:val="00A969E2"/>
    <w:rsid w:val="00A97287"/>
    <w:rsid w:val="00A972E6"/>
    <w:rsid w:val="00A9748E"/>
    <w:rsid w:val="00A9756B"/>
    <w:rsid w:val="00AA003E"/>
    <w:rsid w:val="00AA06AC"/>
    <w:rsid w:val="00AA2CBA"/>
    <w:rsid w:val="00AA5153"/>
    <w:rsid w:val="00AA55D3"/>
    <w:rsid w:val="00AA67D6"/>
    <w:rsid w:val="00AB0719"/>
    <w:rsid w:val="00AB09CE"/>
    <w:rsid w:val="00AB13B4"/>
    <w:rsid w:val="00AB1677"/>
    <w:rsid w:val="00AB4C36"/>
    <w:rsid w:val="00AB4F99"/>
    <w:rsid w:val="00AB58D4"/>
    <w:rsid w:val="00AB7B61"/>
    <w:rsid w:val="00AB7F2B"/>
    <w:rsid w:val="00AC0075"/>
    <w:rsid w:val="00AC047D"/>
    <w:rsid w:val="00AC0920"/>
    <w:rsid w:val="00AC1931"/>
    <w:rsid w:val="00AC2618"/>
    <w:rsid w:val="00AC3138"/>
    <w:rsid w:val="00AC3159"/>
    <w:rsid w:val="00AC3410"/>
    <w:rsid w:val="00AC3517"/>
    <w:rsid w:val="00AC502D"/>
    <w:rsid w:val="00AC5530"/>
    <w:rsid w:val="00AC55D8"/>
    <w:rsid w:val="00AC6604"/>
    <w:rsid w:val="00AC6647"/>
    <w:rsid w:val="00AC6D51"/>
    <w:rsid w:val="00AD08FB"/>
    <w:rsid w:val="00AD0E26"/>
    <w:rsid w:val="00AD31F9"/>
    <w:rsid w:val="00AD46BD"/>
    <w:rsid w:val="00AD4980"/>
    <w:rsid w:val="00AD58C4"/>
    <w:rsid w:val="00AD5D2C"/>
    <w:rsid w:val="00AD60E0"/>
    <w:rsid w:val="00AD6189"/>
    <w:rsid w:val="00AD63BC"/>
    <w:rsid w:val="00AE0DA4"/>
    <w:rsid w:val="00AE1911"/>
    <w:rsid w:val="00AE2F4C"/>
    <w:rsid w:val="00AE6C82"/>
    <w:rsid w:val="00AF00C5"/>
    <w:rsid w:val="00AF1714"/>
    <w:rsid w:val="00AF1829"/>
    <w:rsid w:val="00AF1DFD"/>
    <w:rsid w:val="00AF2093"/>
    <w:rsid w:val="00AF224C"/>
    <w:rsid w:val="00AF2852"/>
    <w:rsid w:val="00AF2875"/>
    <w:rsid w:val="00AF28DC"/>
    <w:rsid w:val="00AF4219"/>
    <w:rsid w:val="00AF59E2"/>
    <w:rsid w:val="00AF64CA"/>
    <w:rsid w:val="00AF6C7B"/>
    <w:rsid w:val="00AF6FDE"/>
    <w:rsid w:val="00AF7617"/>
    <w:rsid w:val="00AF780E"/>
    <w:rsid w:val="00AF7903"/>
    <w:rsid w:val="00AF7CD9"/>
    <w:rsid w:val="00B004DA"/>
    <w:rsid w:val="00B00BBC"/>
    <w:rsid w:val="00B00C07"/>
    <w:rsid w:val="00B00F35"/>
    <w:rsid w:val="00B016C8"/>
    <w:rsid w:val="00B0280E"/>
    <w:rsid w:val="00B02E43"/>
    <w:rsid w:val="00B02F23"/>
    <w:rsid w:val="00B032EB"/>
    <w:rsid w:val="00B03743"/>
    <w:rsid w:val="00B03F2B"/>
    <w:rsid w:val="00B04F48"/>
    <w:rsid w:val="00B06474"/>
    <w:rsid w:val="00B07E36"/>
    <w:rsid w:val="00B1116E"/>
    <w:rsid w:val="00B1295E"/>
    <w:rsid w:val="00B129FA"/>
    <w:rsid w:val="00B133EB"/>
    <w:rsid w:val="00B13594"/>
    <w:rsid w:val="00B15283"/>
    <w:rsid w:val="00B15D7D"/>
    <w:rsid w:val="00B1689D"/>
    <w:rsid w:val="00B20832"/>
    <w:rsid w:val="00B21203"/>
    <w:rsid w:val="00B21F7C"/>
    <w:rsid w:val="00B225F8"/>
    <w:rsid w:val="00B22B6F"/>
    <w:rsid w:val="00B2342C"/>
    <w:rsid w:val="00B23708"/>
    <w:rsid w:val="00B23DEA"/>
    <w:rsid w:val="00B2613E"/>
    <w:rsid w:val="00B26783"/>
    <w:rsid w:val="00B311CC"/>
    <w:rsid w:val="00B31B7E"/>
    <w:rsid w:val="00B31D9C"/>
    <w:rsid w:val="00B32432"/>
    <w:rsid w:val="00B32CC6"/>
    <w:rsid w:val="00B32EBB"/>
    <w:rsid w:val="00B33276"/>
    <w:rsid w:val="00B333B8"/>
    <w:rsid w:val="00B3355A"/>
    <w:rsid w:val="00B337C9"/>
    <w:rsid w:val="00B34EBF"/>
    <w:rsid w:val="00B34F2D"/>
    <w:rsid w:val="00B361B3"/>
    <w:rsid w:val="00B4003C"/>
    <w:rsid w:val="00B40558"/>
    <w:rsid w:val="00B408F8"/>
    <w:rsid w:val="00B40EE7"/>
    <w:rsid w:val="00B4179A"/>
    <w:rsid w:val="00B42100"/>
    <w:rsid w:val="00B42422"/>
    <w:rsid w:val="00B4245F"/>
    <w:rsid w:val="00B425C9"/>
    <w:rsid w:val="00B42C05"/>
    <w:rsid w:val="00B42D4B"/>
    <w:rsid w:val="00B42FE2"/>
    <w:rsid w:val="00B43241"/>
    <w:rsid w:val="00B438B5"/>
    <w:rsid w:val="00B44EAE"/>
    <w:rsid w:val="00B45C00"/>
    <w:rsid w:val="00B469E1"/>
    <w:rsid w:val="00B47157"/>
    <w:rsid w:val="00B5285D"/>
    <w:rsid w:val="00B52D56"/>
    <w:rsid w:val="00B53066"/>
    <w:rsid w:val="00B546A8"/>
    <w:rsid w:val="00B553EA"/>
    <w:rsid w:val="00B55BA4"/>
    <w:rsid w:val="00B57A7A"/>
    <w:rsid w:val="00B57FAB"/>
    <w:rsid w:val="00B60A1A"/>
    <w:rsid w:val="00B60D4A"/>
    <w:rsid w:val="00B612C3"/>
    <w:rsid w:val="00B61B51"/>
    <w:rsid w:val="00B62626"/>
    <w:rsid w:val="00B6378A"/>
    <w:rsid w:val="00B65042"/>
    <w:rsid w:val="00B65DB5"/>
    <w:rsid w:val="00B65EC9"/>
    <w:rsid w:val="00B65F61"/>
    <w:rsid w:val="00B66491"/>
    <w:rsid w:val="00B67087"/>
    <w:rsid w:val="00B705D4"/>
    <w:rsid w:val="00B707FC"/>
    <w:rsid w:val="00B76F3F"/>
    <w:rsid w:val="00B77FAA"/>
    <w:rsid w:val="00B80BBB"/>
    <w:rsid w:val="00B80DB5"/>
    <w:rsid w:val="00B8145A"/>
    <w:rsid w:val="00B81ABC"/>
    <w:rsid w:val="00B82F14"/>
    <w:rsid w:val="00B8382D"/>
    <w:rsid w:val="00B84128"/>
    <w:rsid w:val="00B84371"/>
    <w:rsid w:val="00B84780"/>
    <w:rsid w:val="00B84AF7"/>
    <w:rsid w:val="00B8585E"/>
    <w:rsid w:val="00B85B94"/>
    <w:rsid w:val="00B85D7F"/>
    <w:rsid w:val="00B86D54"/>
    <w:rsid w:val="00B86D75"/>
    <w:rsid w:val="00B875A0"/>
    <w:rsid w:val="00B90851"/>
    <w:rsid w:val="00B91634"/>
    <w:rsid w:val="00B927B2"/>
    <w:rsid w:val="00B92C43"/>
    <w:rsid w:val="00B938FA"/>
    <w:rsid w:val="00B93FC4"/>
    <w:rsid w:val="00B95276"/>
    <w:rsid w:val="00B95CD8"/>
    <w:rsid w:val="00B96AFC"/>
    <w:rsid w:val="00B974AD"/>
    <w:rsid w:val="00BA0963"/>
    <w:rsid w:val="00BA2FB2"/>
    <w:rsid w:val="00BA3BE1"/>
    <w:rsid w:val="00BA42FD"/>
    <w:rsid w:val="00BA50C8"/>
    <w:rsid w:val="00BA5B5F"/>
    <w:rsid w:val="00BA63E4"/>
    <w:rsid w:val="00BA78D4"/>
    <w:rsid w:val="00BB0357"/>
    <w:rsid w:val="00BB0369"/>
    <w:rsid w:val="00BB1FA4"/>
    <w:rsid w:val="00BB2243"/>
    <w:rsid w:val="00BB466F"/>
    <w:rsid w:val="00BB4F52"/>
    <w:rsid w:val="00BB51C4"/>
    <w:rsid w:val="00BB558C"/>
    <w:rsid w:val="00BB5CE5"/>
    <w:rsid w:val="00BB638B"/>
    <w:rsid w:val="00BB701C"/>
    <w:rsid w:val="00BB731C"/>
    <w:rsid w:val="00BB7398"/>
    <w:rsid w:val="00BB75FF"/>
    <w:rsid w:val="00BB7B9D"/>
    <w:rsid w:val="00BB7D22"/>
    <w:rsid w:val="00BC052C"/>
    <w:rsid w:val="00BC0531"/>
    <w:rsid w:val="00BC07A7"/>
    <w:rsid w:val="00BC0E18"/>
    <w:rsid w:val="00BC1C91"/>
    <w:rsid w:val="00BC223C"/>
    <w:rsid w:val="00BC47CF"/>
    <w:rsid w:val="00BC7BE4"/>
    <w:rsid w:val="00BD0237"/>
    <w:rsid w:val="00BD0A7B"/>
    <w:rsid w:val="00BD19B3"/>
    <w:rsid w:val="00BD1BC4"/>
    <w:rsid w:val="00BD1F9A"/>
    <w:rsid w:val="00BD213C"/>
    <w:rsid w:val="00BD40C1"/>
    <w:rsid w:val="00BD5117"/>
    <w:rsid w:val="00BD525A"/>
    <w:rsid w:val="00BD61DB"/>
    <w:rsid w:val="00BD6770"/>
    <w:rsid w:val="00BD6EA6"/>
    <w:rsid w:val="00BD7B4B"/>
    <w:rsid w:val="00BE0401"/>
    <w:rsid w:val="00BE15C0"/>
    <w:rsid w:val="00BE191A"/>
    <w:rsid w:val="00BE1B83"/>
    <w:rsid w:val="00BE3012"/>
    <w:rsid w:val="00BE30D8"/>
    <w:rsid w:val="00BE3665"/>
    <w:rsid w:val="00BE39F9"/>
    <w:rsid w:val="00BE3F57"/>
    <w:rsid w:val="00BE416C"/>
    <w:rsid w:val="00BE488E"/>
    <w:rsid w:val="00BE4C45"/>
    <w:rsid w:val="00BE4D23"/>
    <w:rsid w:val="00BE514D"/>
    <w:rsid w:val="00BE5AC1"/>
    <w:rsid w:val="00BE6130"/>
    <w:rsid w:val="00BE7FDF"/>
    <w:rsid w:val="00BF0726"/>
    <w:rsid w:val="00BF13A2"/>
    <w:rsid w:val="00BF274F"/>
    <w:rsid w:val="00BF3012"/>
    <w:rsid w:val="00BF326A"/>
    <w:rsid w:val="00BF33B0"/>
    <w:rsid w:val="00BF495E"/>
    <w:rsid w:val="00BF4B38"/>
    <w:rsid w:val="00BF4C85"/>
    <w:rsid w:val="00BF54B7"/>
    <w:rsid w:val="00BF6AED"/>
    <w:rsid w:val="00BF7021"/>
    <w:rsid w:val="00C00440"/>
    <w:rsid w:val="00C00DFC"/>
    <w:rsid w:val="00C010D1"/>
    <w:rsid w:val="00C017C9"/>
    <w:rsid w:val="00C02C43"/>
    <w:rsid w:val="00C04D71"/>
    <w:rsid w:val="00C04FC1"/>
    <w:rsid w:val="00C0508C"/>
    <w:rsid w:val="00C05775"/>
    <w:rsid w:val="00C05781"/>
    <w:rsid w:val="00C05977"/>
    <w:rsid w:val="00C059CE"/>
    <w:rsid w:val="00C05AB4"/>
    <w:rsid w:val="00C067A2"/>
    <w:rsid w:val="00C067D3"/>
    <w:rsid w:val="00C06919"/>
    <w:rsid w:val="00C06EA0"/>
    <w:rsid w:val="00C06F0B"/>
    <w:rsid w:val="00C0753F"/>
    <w:rsid w:val="00C079AF"/>
    <w:rsid w:val="00C07D5D"/>
    <w:rsid w:val="00C105C9"/>
    <w:rsid w:val="00C116DA"/>
    <w:rsid w:val="00C1297C"/>
    <w:rsid w:val="00C1411A"/>
    <w:rsid w:val="00C1414D"/>
    <w:rsid w:val="00C15226"/>
    <w:rsid w:val="00C15909"/>
    <w:rsid w:val="00C15DBA"/>
    <w:rsid w:val="00C1637A"/>
    <w:rsid w:val="00C1644B"/>
    <w:rsid w:val="00C17D8C"/>
    <w:rsid w:val="00C207C5"/>
    <w:rsid w:val="00C20E5B"/>
    <w:rsid w:val="00C21A69"/>
    <w:rsid w:val="00C22583"/>
    <w:rsid w:val="00C22632"/>
    <w:rsid w:val="00C22A4E"/>
    <w:rsid w:val="00C23175"/>
    <w:rsid w:val="00C243F3"/>
    <w:rsid w:val="00C2673F"/>
    <w:rsid w:val="00C27DEE"/>
    <w:rsid w:val="00C30176"/>
    <w:rsid w:val="00C3137E"/>
    <w:rsid w:val="00C33DCF"/>
    <w:rsid w:val="00C3426A"/>
    <w:rsid w:val="00C34282"/>
    <w:rsid w:val="00C35844"/>
    <w:rsid w:val="00C3594A"/>
    <w:rsid w:val="00C362C5"/>
    <w:rsid w:val="00C3757D"/>
    <w:rsid w:val="00C37F7D"/>
    <w:rsid w:val="00C401F3"/>
    <w:rsid w:val="00C4292E"/>
    <w:rsid w:val="00C42C22"/>
    <w:rsid w:val="00C42DE3"/>
    <w:rsid w:val="00C44473"/>
    <w:rsid w:val="00C444AB"/>
    <w:rsid w:val="00C447A7"/>
    <w:rsid w:val="00C45B0F"/>
    <w:rsid w:val="00C46008"/>
    <w:rsid w:val="00C461CD"/>
    <w:rsid w:val="00C52828"/>
    <w:rsid w:val="00C52AF5"/>
    <w:rsid w:val="00C532BB"/>
    <w:rsid w:val="00C535AA"/>
    <w:rsid w:val="00C537BB"/>
    <w:rsid w:val="00C5398D"/>
    <w:rsid w:val="00C544C3"/>
    <w:rsid w:val="00C54A73"/>
    <w:rsid w:val="00C54CF6"/>
    <w:rsid w:val="00C54EB0"/>
    <w:rsid w:val="00C5590D"/>
    <w:rsid w:val="00C569CA"/>
    <w:rsid w:val="00C56F31"/>
    <w:rsid w:val="00C62C72"/>
    <w:rsid w:val="00C63005"/>
    <w:rsid w:val="00C632E2"/>
    <w:rsid w:val="00C645F5"/>
    <w:rsid w:val="00C64623"/>
    <w:rsid w:val="00C648CF"/>
    <w:rsid w:val="00C64D55"/>
    <w:rsid w:val="00C650B0"/>
    <w:rsid w:val="00C65242"/>
    <w:rsid w:val="00C653AF"/>
    <w:rsid w:val="00C655E9"/>
    <w:rsid w:val="00C670E3"/>
    <w:rsid w:val="00C70885"/>
    <w:rsid w:val="00C73207"/>
    <w:rsid w:val="00C73486"/>
    <w:rsid w:val="00C73DCD"/>
    <w:rsid w:val="00C7503D"/>
    <w:rsid w:val="00C75119"/>
    <w:rsid w:val="00C771B7"/>
    <w:rsid w:val="00C774CD"/>
    <w:rsid w:val="00C77C1B"/>
    <w:rsid w:val="00C77CD0"/>
    <w:rsid w:val="00C77E97"/>
    <w:rsid w:val="00C77F28"/>
    <w:rsid w:val="00C814F3"/>
    <w:rsid w:val="00C83089"/>
    <w:rsid w:val="00C831E0"/>
    <w:rsid w:val="00C836F1"/>
    <w:rsid w:val="00C83B21"/>
    <w:rsid w:val="00C83EF0"/>
    <w:rsid w:val="00C842F7"/>
    <w:rsid w:val="00C84563"/>
    <w:rsid w:val="00C84732"/>
    <w:rsid w:val="00C85209"/>
    <w:rsid w:val="00C85CE8"/>
    <w:rsid w:val="00C862BF"/>
    <w:rsid w:val="00C86ECB"/>
    <w:rsid w:val="00C87A78"/>
    <w:rsid w:val="00C90582"/>
    <w:rsid w:val="00C90FB6"/>
    <w:rsid w:val="00C91CBD"/>
    <w:rsid w:val="00C93786"/>
    <w:rsid w:val="00C93FE4"/>
    <w:rsid w:val="00C944F4"/>
    <w:rsid w:val="00C94901"/>
    <w:rsid w:val="00C95282"/>
    <w:rsid w:val="00C97D22"/>
    <w:rsid w:val="00CA070B"/>
    <w:rsid w:val="00CA1E46"/>
    <w:rsid w:val="00CA25E9"/>
    <w:rsid w:val="00CA2EEB"/>
    <w:rsid w:val="00CA33A8"/>
    <w:rsid w:val="00CA41F7"/>
    <w:rsid w:val="00CA47EC"/>
    <w:rsid w:val="00CA4BF6"/>
    <w:rsid w:val="00CA5665"/>
    <w:rsid w:val="00CA5A09"/>
    <w:rsid w:val="00CA796D"/>
    <w:rsid w:val="00CA79C2"/>
    <w:rsid w:val="00CB0139"/>
    <w:rsid w:val="00CB1419"/>
    <w:rsid w:val="00CB1929"/>
    <w:rsid w:val="00CB2686"/>
    <w:rsid w:val="00CB3CFC"/>
    <w:rsid w:val="00CB4577"/>
    <w:rsid w:val="00CB4F33"/>
    <w:rsid w:val="00CB620C"/>
    <w:rsid w:val="00CB6E46"/>
    <w:rsid w:val="00CC0149"/>
    <w:rsid w:val="00CC0293"/>
    <w:rsid w:val="00CC0F1C"/>
    <w:rsid w:val="00CC148C"/>
    <w:rsid w:val="00CC1556"/>
    <w:rsid w:val="00CC1691"/>
    <w:rsid w:val="00CC182B"/>
    <w:rsid w:val="00CC2574"/>
    <w:rsid w:val="00CC2B7D"/>
    <w:rsid w:val="00CC4029"/>
    <w:rsid w:val="00CC4D2B"/>
    <w:rsid w:val="00CC6801"/>
    <w:rsid w:val="00CC68A6"/>
    <w:rsid w:val="00CC761B"/>
    <w:rsid w:val="00CC7E31"/>
    <w:rsid w:val="00CD0110"/>
    <w:rsid w:val="00CD07E5"/>
    <w:rsid w:val="00CD09D4"/>
    <w:rsid w:val="00CD0E84"/>
    <w:rsid w:val="00CD103E"/>
    <w:rsid w:val="00CD1BBB"/>
    <w:rsid w:val="00CD208D"/>
    <w:rsid w:val="00CD2931"/>
    <w:rsid w:val="00CD29BB"/>
    <w:rsid w:val="00CD3834"/>
    <w:rsid w:val="00CD39C5"/>
    <w:rsid w:val="00CD3D8D"/>
    <w:rsid w:val="00CD5217"/>
    <w:rsid w:val="00CD5525"/>
    <w:rsid w:val="00CD564C"/>
    <w:rsid w:val="00CD6E63"/>
    <w:rsid w:val="00CE05F8"/>
    <w:rsid w:val="00CE1351"/>
    <w:rsid w:val="00CE18F5"/>
    <w:rsid w:val="00CE3587"/>
    <w:rsid w:val="00CE5161"/>
    <w:rsid w:val="00CE5473"/>
    <w:rsid w:val="00CE58EE"/>
    <w:rsid w:val="00CE6066"/>
    <w:rsid w:val="00CE617E"/>
    <w:rsid w:val="00CE6F66"/>
    <w:rsid w:val="00CE729D"/>
    <w:rsid w:val="00CE7837"/>
    <w:rsid w:val="00CE7C56"/>
    <w:rsid w:val="00CF024F"/>
    <w:rsid w:val="00CF0E96"/>
    <w:rsid w:val="00CF17A9"/>
    <w:rsid w:val="00CF17C6"/>
    <w:rsid w:val="00CF2447"/>
    <w:rsid w:val="00CF2470"/>
    <w:rsid w:val="00CF33E5"/>
    <w:rsid w:val="00CF3E2A"/>
    <w:rsid w:val="00CF40DC"/>
    <w:rsid w:val="00CF48E4"/>
    <w:rsid w:val="00CF5C1D"/>
    <w:rsid w:val="00CF6736"/>
    <w:rsid w:val="00CF7EF1"/>
    <w:rsid w:val="00D0185A"/>
    <w:rsid w:val="00D02256"/>
    <w:rsid w:val="00D027FB"/>
    <w:rsid w:val="00D032AF"/>
    <w:rsid w:val="00D03482"/>
    <w:rsid w:val="00D03673"/>
    <w:rsid w:val="00D0378B"/>
    <w:rsid w:val="00D039A3"/>
    <w:rsid w:val="00D0400C"/>
    <w:rsid w:val="00D04532"/>
    <w:rsid w:val="00D04670"/>
    <w:rsid w:val="00D04DCA"/>
    <w:rsid w:val="00D050C5"/>
    <w:rsid w:val="00D0532C"/>
    <w:rsid w:val="00D054E6"/>
    <w:rsid w:val="00D059D5"/>
    <w:rsid w:val="00D0690E"/>
    <w:rsid w:val="00D06F61"/>
    <w:rsid w:val="00D06FAB"/>
    <w:rsid w:val="00D07349"/>
    <w:rsid w:val="00D0760D"/>
    <w:rsid w:val="00D10B5E"/>
    <w:rsid w:val="00D11928"/>
    <w:rsid w:val="00D12665"/>
    <w:rsid w:val="00D133F0"/>
    <w:rsid w:val="00D13787"/>
    <w:rsid w:val="00D15353"/>
    <w:rsid w:val="00D15D61"/>
    <w:rsid w:val="00D16BA8"/>
    <w:rsid w:val="00D176B1"/>
    <w:rsid w:val="00D211BD"/>
    <w:rsid w:val="00D21CDA"/>
    <w:rsid w:val="00D22241"/>
    <w:rsid w:val="00D23A09"/>
    <w:rsid w:val="00D23D3A"/>
    <w:rsid w:val="00D24466"/>
    <w:rsid w:val="00D2561D"/>
    <w:rsid w:val="00D25C17"/>
    <w:rsid w:val="00D26058"/>
    <w:rsid w:val="00D26D9F"/>
    <w:rsid w:val="00D27715"/>
    <w:rsid w:val="00D2778E"/>
    <w:rsid w:val="00D311A7"/>
    <w:rsid w:val="00D3182D"/>
    <w:rsid w:val="00D31B96"/>
    <w:rsid w:val="00D3278A"/>
    <w:rsid w:val="00D3380E"/>
    <w:rsid w:val="00D33A41"/>
    <w:rsid w:val="00D342B5"/>
    <w:rsid w:val="00D34747"/>
    <w:rsid w:val="00D34C78"/>
    <w:rsid w:val="00D353A1"/>
    <w:rsid w:val="00D353F2"/>
    <w:rsid w:val="00D3641E"/>
    <w:rsid w:val="00D36775"/>
    <w:rsid w:val="00D4040A"/>
    <w:rsid w:val="00D4083B"/>
    <w:rsid w:val="00D41B22"/>
    <w:rsid w:val="00D4247C"/>
    <w:rsid w:val="00D42ED6"/>
    <w:rsid w:val="00D4536F"/>
    <w:rsid w:val="00D4659D"/>
    <w:rsid w:val="00D46AB1"/>
    <w:rsid w:val="00D46ABA"/>
    <w:rsid w:val="00D46AD1"/>
    <w:rsid w:val="00D46CF3"/>
    <w:rsid w:val="00D46E3E"/>
    <w:rsid w:val="00D476CA"/>
    <w:rsid w:val="00D47D46"/>
    <w:rsid w:val="00D507A1"/>
    <w:rsid w:val="00D512AC"/>
    <w:rsid w:val="00D5134D"/>
    <w:rsid w:val="00D53148"/>
    <w:rsid w:val="00D531BA"/>
    <w:rsid w:val="00D5383F"/>
    <w:rsid w:val="00D5482C"/>
    <w:rsid w:val="00D54A45"/>
    <w:rsid w:val="00D54C24"/>
    <w:rsid w:val="00D5593F"/>
    <w:rsid w:val="00D559F2"/>
    <w:rsid w:val="00D57159"/>
    <w:rsid w:val="00D57721"/>
    <w:rsid w:val="00D578BC"/>
    <w:rsid w:val="00D60641"/>
    <w:rsid w:val="00D61328"/>
    <w:rsid w:val="00D6195F"/>
    <w:rsid w:val="00D62200"/>
    <w:rsid w:val="00D629CF"/>
    <w:rsid w:val="00D63DA8"/>
    <w:rsid w:val="00D64414"/>
    <w:rsid w:val="00D648BF"/>
    <w:rsid w:val="00D64C42"/>
    <w:rsid w:val="00D656E4"/>
    <w:rsid w:val="00D657F4"/>
    <w:rsid w:val="00D65D8E"/>
    <w:rsid w:val="00D66463"/>
    <w:rsid w:val="00D66797"/>
    <w:rsid w:val="00D7035F"/>
    <w:rsid w:val="00D708CD"/>
    <w:rsid w:val="00D716A5"/>
    <w:rsid w:val="00D722E8"/>
    <w:rsid w:val="00D7241D"/>
    <w:rsid w:val="00D724E2"/>
    <w:rsid w:val="00D72928"/>
    <w:rsid w:val="00D72EFF"/>
    <w:rsid w:val="00D7312D"/>
    <w:rsid w:val="00D735A9"/>
    <w:rsid w:val="00D74592"/>
    <w:rsid w:val="00D76233"/>
    <w:rsid w:val="00D77650"/>
    <w:rsid w:val="00D80286"/>
    <w:rsid w:val="00D80604"/>
    <w:rsid w:val="00D80FD7"/>
    <w:rsid w:val="00D8186E"/>
    <w:rsid w:val="00D81A27"/>
    <w:rsid w:val="00D81B49"/>
    <w:rsid w:val="00D826FE"/>
    <w:rsid w:val="00D827AA"/>
    <w:rsid w:val="00D829F6"/>
    <w:rsid w:val="00D83209"/>
    <w:rsid w:val="00D842CD"/>
    <w:rsid w:val="00D842F0"/>
    <w:rsid w:val="00D846A3"/>
    <w:rsid w:val="00D84991"/>
    <w:rsid w:val="00D84C27"/>
    <w:rsid w:val="00D84D02"/>
    <w:rsid w:val="00D856F5"/>
    <w:rsid w:val="00D8705F"/>
    <w:rsid w:val="00D878E5"/>
    <w:rsid w:val="00D87B4C"/>
    <w:rsid w:val="00D9044D"/>
    <w:rsid w:val="00D909A3"/>
    <w:rsid w:val="00D91021"/>
    <w:rsid w:val="00D91B08"/>
    <w:rsid w:val="00D93102"/>
    <w:rsid w:val="00D93269"/>
    <w:rsid w:val="00D962DD"/>
    <w:rsid w:val="00D96D44"/>
    <w:rsid w:val="00D974E8"/>
    <w:rsid w:val="00DA1F3E"/>
    <w:rsid w:val="00DA20D9"/>
    <w:rsid w:val="00DA4134"/>
    <w:rsid w:val="00DA41C6"/>
    <w:rsid w:val="00DA4B86"/>
    <w:rsid w:val="00DA5039"/>
    <w:rsid w:val="00DA73C5"/>
    <w:rsid w:val="00DB0963"/>
    <w:rsid w:val="00DB1491"/>
    <w:rsid w:val="00DB18BF"/>
    <w:rsid w:val="00DB2121"/>
    <w:rsid w:val="00DB4CC2"/>
    <w:rsid w:val="00DB5A0D"/>
    <w:rsid w:val="00DB5A25"/>
    <w:rsid w:val="00DB7AD1"/>
    <w:rsid w:val="00DC0D88"/>
    <w:rsid w:val="00DC1421"/>
    <w:rsid w:val="00DC1460"/>
    <w:rsid w:val="00DC17B5"/>
    <w:rsid w:val="00DC1D9C"/>
    <w:rsid w:val="00DC2309"/>
    <w:rsid w:val="00DC3518"/>
    <w:rsid w:val="00DC3A01"/>
    <w:rsid w:val="00DC4C6C"/>
    <w:rsid w:val="00DC5C43"/>
    <w:rsid w:val="00DC5D92"/>
    <w:rsid w:val="00DC75EF"/>
    <w:rsid w:val="00DC7E8B"/>
    <w:rsid w:val="00DD1185"/>
    <w:rsid w:val="00DD2179"/>
    <w:rsid w:val="00DD27CA"/>
    <w:rsid w:val="00DD30D9"/>
    <w:rsid w:val="00DD33A0"/>
    <w:rsid w:val="00DD3DCC"/>
    <w:rsid w:val="00DD4734"/>
    <w:rsid w:val="00DD4E53"/>
    <w:rsid w:val="00DD62CB"/>
    <w:rsid w:val="00DD68D0"/>
    <w:rsid w:val="00DD748F"/>
    <w:rsid w:val="00DE0587"/>
    <w:rsid w:val="00DE09AD"/>
    <w:rsid w:val="00DE311A"/>
    <w:rsid w:val="00DE36A4"/>
    <w:rsid w:val="00DE4B58"/>
    <w:rsid w:val="00DE4B7B"/>
    <w:rsid w:val="00DE5FB4"/>
    <w:rsid w:val="00DE6143"/>
    <w:rsid w:val="00DE6545"/>
    <w:rsid w:val="00DE66C1"/>
    <w:rsid w:val="00DE699B"/>
    <w:rsid w:val="00DE7A12"/>
    <w:rsid w:val="00DE7C74"/>
    <w:rsid w:val="00DF07D6"/>
    <w:rsid w:val="00DF1060"/>
    <w:rsid w:val="00DF10F1"/>
    <w:rsid w:val="00DF13BD"/>
    <w:rsid w:val="00DF14BE"/>
    <w:rsid w:val="00DF187C"/>
    <w:rsid w:val="00DF201E"/>
    <w:rsid w:val="00DF244D"/>
    <w:rsid w:val="00DF2514"/>
    <w:rsid w:val="00DF35B4"/>
    <w:rsid w:val="00DF3936"/>
    <w:rsid w:val="00DF3C30"/>
    <w:rsid w:val="00DF4293"/>
    <w:rsid w:val="00DF4382"/>
    <w:rsid w:val="00DF46B9"/>
    <w:rsid w:val="00DF5393"/>
    <w:rsid w:val="00DF54ED"/>
    <w:rsid w:val="00DF5A85"/>
    <w:rsid w:val="00DF5C1B"/>
    <w:rsid w:val="00DF6A21"/>
    <w:rsid w:val="00DF71B1"/>
    <w:rsid w:val="00DF758D"/>
    <w:rsid w:val="00DF7728"/>
    <w:rsid w:val="00DF7FBC"/>
    <w:rsid w:val="00E0043A"/>
    <w:rsid w:val="00E0146A"/>
    <w:rsid w:val="00E01AB3"/>
    <w:rsid w:val="00E0258F"/>
    <w:rsid w:val="00E02721"/>
    <w:rsid w:val="00E02AA1"/>
    <w:rsid w:val="00E02BD8"/>
    <w:rsid w:val="00E02FF8"/>
    <w:rsid w:val="00E0311B"/>
    <w:rsid w:val="00E033E8"/>
    <w:rsid w:val="00E040BC"/>
    <w:rsid w:val="00E040D0"/>
    <w:rsid w:val="00E05D70"/>
    <w:rsid w:val="00E07451"/>
    <w:rsid w:val="00E10605"/>
    <w:rsid w:val="00E1161B"/>
    <w:rsid w:val="00E12579"/>
    <w:rsid w:val="00E12974"/>
    <w:rsid w:val="00E12BAA"/>
    <w:rsid w:val="00E131CC"/>
    <w:rsid w:val="00E14013"/>
    <w:rsid w:val="00E143E1"/>
    <w:rsid w:val="00E14A38"/>
    <w:rsid w:val="00E14CFB"/>
    <w:rsid w:val="00E159CF"/>
    <w:rsid w:val="00E165A4"/>
    <w:rsid w:val="00E1707A"/>
    <w:rsid w:val="00E21133"/>
    <w:rsid w:val="00E21B42"/>
    <w:rsid w:val="00E21F4C"/>
    <w:rsid w:val="00E22338"/>
    <w:rsid w:val="00E2233B"/>
    <w:rsid w:val="00E22485"/>
    <w:rsid w:val="00E2313E"/>
    <w:rsid w:val="00E24CA6"/>
    <w:rsid w:val="00E24CB3"/>
    <w:rsid w:val="00E25560"/>
    <w:rsid w:val="00E25CD0"/>
    <w:rsid w:val="00E25E79"/>
    <w:rsid w:val="00E25F04"/>
    <w:rsid w:val="00E2658C"/>
    <w:rsid w:val="00E26CA6"/>
    <w:rsid w:val="00E313C6"/>
    <w:rsid w:val="00E3163C"/>
    <w:rsid w:val="00E322D6"/>
    <w:rsid w:val="00E32DF3"/>
    <w:rsid w:val="00E3319B"/>
    <w:rsid w:val="00E33364"/>
    <w:rsid w:val="00E35740"/>
    <w:rsid w:val="00E35E4A"/>
    <w:rsid w:val="00E360BC"/>
    <w:rsid w:val="00E361C1"/>
    <w:rsid w:val="00E36D50"/>
    <w:rsid w:val="00E36FD4"/>
    <w:rsid w:val="00E373AC"/>
    <w:rsid w:val="00E37553"/>
    <w:rsid w:val="00E37BFD"/>
    <w:rsid w:val="00E40AA7"/>
    <w:rsid w:val="00E414B7"/>
    <w:rsid w:val="00E41AA0"/>
    <w:rsid w:val="00E42408"/>
    <w:rsid w:val="00E42513"/>
    <w:rsid w:val="00E441A5"/>
    <w:rsid w:val="00E442A3"/>
    <w:rsid w:val="00E44D9B"/>
    <w:rsid w:val="00E45327"/>
    <w:rsid w:val="00E45613"/>
    <w:rsid w:val="00E457AD"/>
    <w:rsid w:val="00E45F03"/>
    <w:rsid w:val="00E47066"/>
    <w:rsid w:val="00E4764F"/>
    <w:rsid w:val="00E47CE0"/>
    <w:rsid w:val="00E509DA"/>
    <w:rsid w:val="00E50BE9"/>
    <w:rsid w:val="00E5110C"/>
    <w:rsid w:val="00E51316"/>
    <w:rsid w:val="00E52C1A"/>
    <w:rsid w:val="00E532F8"/>
    <w:rsid w:val="00E53429"/>
    <w:rsid w:val="00E54777"/>
    <w:rsid w:val="00E5539D"/>
    <w:rsid w:val="00E556DD"/>
    <w:rsid w:val="00E55E36"/>
    <w:rsid w:val="00E56863"/>
    <w:rsid w:val="00E568E8"/>
    <w:rsid w:val="00E57270"/>
    <w:rsid w:val="00E578A6"/>
    <w:rsid w:val="00E578A8"/>
    <w:rsid w:val="00E57905"/>
    <w:rsid w:val="00E57AF9"/>
    <w:rsid w:val="00E6004B"/>
    <w:rsid w:val="00E60989"/>
    <w:rsid w:val="00E61954"/>
    <w:rsid w:val="00E61B95"/>
    <w:rsid w:val="00E61CB6"/>
    <w:rsid w:val="00E61DFB"/>
    <w:rsid w:val="00E63102"/>
    <w:rsid w:val="00E63131"/>
    <w:rsid w:val="00E64097"/>
    <w:rsid w:val="00E64A1A"/>
    <w:rsid w:val="00E659BA"/>
    <w:rsid w:val="00E65C4F"/>
    <w:rsid w:val="00E67B32"/>
    <w:rsid w:val="00E72F54"/>
    <w:rsid w:val="00E73A0F"/>
    <w:rsid w:val="00E73FE4"/>
    <w:rsid w:val="00E7441C"/>
    <w:rsid w:val="00E74FF9"/>
    <w:rsid w:val="00E7514B"/>
    <w:rsid w:val="00E75394"/>
    <w:rsid w:val="00E755FB"/>
    <w:rsid w:val="00E763C0"/>
    <w:rsid w:val="00E802B3"/>
    <w:rsid w:val="00E811FC"/>
    <w:rsid w:val="00E8136D"/>
    <w:rsid w:val="00E81916"/>
    <w:rsid w:val="00E81E47"/>
    <w:rsid w:val="00E821C9"/>
    <w:rsid w:val="00E82244"/>
    <w:rsid w:val="00E8262A"/>
    <w:rsid w:val="00E83165"/>
    <w:rsid w:val="00E83AE4"/>
    <w:rsid w:val="00E83EA9"/>
    <w:rsid w:val="00E841B2"/>
    <w:rsid w:val="00E85615"/>
    <w:rsid w:val="00E85B1C"/>
    <w:rsid w:val="00E87D32"/>
    <w:rsid w:val="00E90BE8"/>
    <w:rsid w:val="00E90DD8"/>
    <w:rsid w:val="00E9111C"/>
    <w:rsid w:val="00E9169C"/>
    <w:rsid w:val="00E91FDD"/>
    <w:rsid w:val="00E92473"/>
    <w:rsid w:val="00E92908"/>
    <w:rsid w:val="00E92990"/>
    <w:rsid w:val="00E94CE7"/>
    <w:rsid w:val="00E9538D"/>
    <w:rsid w:val="00E96029"/>
    <w:rsid w:val="00E96399"/>
    <w:rsid w:val="00E96732"/>
    <w:rsid w:val="00E978B9"/>
    <w:rsid w:val="00E97E82"/>
    <w:rsid w:val="00EA1F94"/>
    <w:rsid w:val="00EA2049"/>
    <w:rsid w:val="00EA3710"/>
    <w:rsid w:val="00EA3741"/>
    <w:rsid w:val="00EA3D69"/>
    <w:rsid w:val="00EA3EDC"/>
    <w:rsid w:val="00EA45FD"/>
    <w:rsid w:val="00EA4ADF"/>
    <w:rsid w:val="00EA5878"/>
    <w:rsid w:val="00EA69DF"/>
    <w:rsid w:val="00EB056B"/>
    <w:rsid w:val="00EB29B2"/>
    <w:rsid w:val="00EB34FE"/>
    <w:rsid w:val="00EB3501"/>
    <w:rsid w:val="00EB4563"/>
    <w:rsid w:val="00EB5265"/>
    <w:rsid w:val="00EB58CA"/>
    <w:rsid w:val="00EB63C5"/>
    <w:rsid w:val="00EB6BB0"/>
    <w:rsid w:val="00EB72D8"/>
    <w:rsid w:val="00EB7459"/>
    <w:rsid w:val="00EC0021"/>
    <w:rsid w:val="00EC08E2"/>
    <w:rsid w:val="00EC0F30"/>
    <w:rsid w:val="00EC2149"/>
    <w:rsid w:val="00EC26BE"/>
    <w:rsid w:val="00EC32AC"/>
    <w:rsid w:val="00EC3400"/>
    <w:rsid w:val="00EC361D"/>
    <w:rsid w:val="00EC36F1"/>
    <w:rsid w:val="00EC3C6B"/>
    <w:rsid w:val="00EC423E"/>
    <w:rsid w:val="00EC53C8"/>
    <w:rsid w:val="00EC56A9"/>
    <w:rsid w:val="00EC5873"/>
    <w:rsid w:val="00EC7AB0"/>
    <w:rsid w:val="00ED0837"/>
    <w:rsid w:val="00ED1F48"/>
    <w:rsid w:val="00ED20D3"/>
    <w:rsid w:val="00ED3E2B"/>
    <w:rsid w:val="00ED4897"/>
    <w:rsid w:val="00ED5238"/>
    <w:rsid w:val="00ED593D"/>
    <w:rsid w:val="00ED5FC4"/>
    <w:rsid w:val="00EE049F"/>
    <w:rsid w:val="00EE159B"/>
    <w:rsid w:val="00EE25C5"/>
    <w:rsid w:val="00EE370B"/>
    <w:rsid w:val="00EE45E0"/>
    <w:rsid w:val="00EE51E2"/>
    <w:rsid w:val="00EE5365"/>
    <w:rsid w:val="00EE5520"/>
    <w:rsid w:val="00EE5691"/>
    <w:rsid w:val="00EE6244"/>
    <w:rsid w:val="00EE7427"/>
    <w:rsid w:val="00EF0997"/>
    <w:rsid w:val="00EF113D"/>
    <w:rsid w:val="00EF23B7"/>
    <w:rsid w:val="00EF2A14"/>
    <w:rsid w:val="00EF2DB0"/>
    <w:rsid w:val="00EF2F6E"/>
    <w:rsid w:val="00EF49B8"/>
    <w:rsid w:val="00EF595E"/>
    <w:rsid w:val="00F00934"/>
    <w:rsid w:val="00F00B61"/>
    <w:rsid w:val="00F02EAA"/>
    <w:rsid w:val="00F056FA"/>
    <w:rsid w:val="00F06DC5"/>
    <w:rsid w:val="00F079BD"/>
    <w:rsid w:val="00F07A3F"/>
    <w:rsid w:val="00F10B50"/>
    <w:rsid w:val="00F1178A"/>
    <w:rsid w:val="00F121B9"/>
    <w:rsid w:val="00F144AA"/>
    <w:rsid w:val="00F15FDF"/>
    <w:rsid w:val="00F167F5"/>
    <w:rsid w:val="00F17D71"/>
    <w:rsid w:val="00F21A38"/>
    <w:rsid w:val="00F21B38"/>
    <w:rsid w:val="00F220A0"/>
    <w:rsid w:val="00F2461A"/>
    <w:rsid w:val="00F2471E"/>
    <w:rsid w:val="00F263ED"/>
    <w:rsid w:val="00F269B0"/>
    <w:rsid w:val="00F30045"/>
    <w:rsid w:val="00F30FF9"/>
    <w:rsid w:val="00F316D2"/>
    <w:rsid w:val="00F3178D"/>
    <w:rsid w:val="00F31C4A"/>
    <w:rsid w:val="00F31CCB"/>
    <w:rsid w:val="00F3320C"/>
    <w:rsid w:val="00F3401F"/>
    <w:rsid w:val="00F34FFE"/>
    <w:rsid w:val="00F35095"/>
    <w:rsid w:val="00F35723"/>
    <w:rsid w:val="00F36B4F"/>
    <w:rsid w:val="00F40542"/>
    <w:rsid w:val="00F40B68"/>
    <w:rsid w:val="00F40BFE"/>
    <w:rsid w:val="00F41581"/>
    <w:rsid w:val="00F42099"/>
    <w:rsid w:val="00F425A8"/>
    <w:rsid w:val="00F44EC4"/>
    <w:rsid w:val="00F4627C"/>
    <w:rsid w:val="00F465A2"/>
    <w:rsid w:val="00F50DDB"/>
    <w:rsid w:val="00F511E3"/>
    <w:rsid w:val="00F520F8"/>
    <w:rsid w:val="00F5344C"/>
    <w:rsid w:val="00F53D3A"/>
    <w:rsid w:val="00F53FA5"/>
    <w:rsid w:val="00F545C7"/>
    <w:rsid w:val="00F54ACD"/>
    <w:rsid w:val="00F56093"/>
    <w:rsid w:val="00F57486"/>
    <w:rsid w:val="00F5793B"/>
    <w:rsid w:val="00F579C7"/>
    <w:rsid w:val="00F60419"/>
    <w:rsid w:val="00F60EFE"/>
    <w:rsid w:val="00F6193D"/>
    <w:rsid w:val="00F61DA3"/>
    <w:rsid w:val="00F6237C"/>
    <w:rsid w:val="00F624F4"/>
    <w:rsid w:val="00F62792"/>
    <w:rsid w:val="00F62C2A"/>
    <w:rsid w:val="00F62CC8"/>
    <w:rsid w:val="00F62F2D"/>
    <w:rsid w:val="00F6364E"/>
    <w:rsid w:val="00F63A22"/>
    <w:rsid w:val="00F63D59"/>
    <w:rsid w:val="00F64C04"/>
    <w:rsid w:val="00F664A9"/>
    <w:rsid w:val="00F66BB8"/>
    <w:rsid w:val="00F66EAF"/>
    <w:rsid w:val="00F674BE"/>
    <w:rsid w:val="00F677F9"/>
    <w:rsid w:val="00F7007F"/>
    <w:rsid w:val="00F70B85"/>
    <w:rsid w:val="00F742E1"/>
    <w:rsid w:val="00F745E6"/>
    <w:rsid w:val="00F75A0F"/>
    <w:rsid w:val="00F75A37"/>
    <w:rsid w:val="00F7677F"/>
    <w:rsid w:val="00F76B0C"/>
    <w:rsid w:val="00F76EEF"/>
    <w:rsid w:val="00F774BD"/>
    <w:rsid w:val="00F819CC"/>
    <w:rsid w:val="00F81A00"/>
    <w:rsid w:val="00F81ED2"/>
    <w:rsid w:val="00F82E88"/>
    <w:rsid w:val="00F83009"/>
    <w:rsid w:val="00F830F3"/>
    <w:rsid w:val="00F83561"/>
    <w:rsid w:val="00F83A17"/>
    <w:rsid w:val="00F84708"/>
    <w:rsid w:val="00F852AE"/>
    <w:rsid w:val="00F854BF"/>
    <w:rsid w:val="00F857A5"/>
    <w:rsid w:val="00F86094"/>
    <w:rsid w:val="00F86517"/>
    <w:rsid w:val="00F8696E"/>
    <w:rsid w:val="00F86E37"/>
    <w:rsid w:val="00F87A77"/>
    <w:rsid w:val="00F9054B"/>
    <w:rsid w:val="00F91299"/>
    <w:rsid w:val="00F918BA"/>
    <w:rsid w:val="00F91E91"/>
    <w:rsid w:val="00F91EBB"/>
    <w:rsid w:val="00F9246D"/>
    <w:rsid w:val="00F93CC8"/>
    <w:rsid w:val="00F94BBF"/>
    <w:rsid w:val="00F95864"/>
    <w:rsid w:val="00F966BC"/>
    <w:rsid w:val="00F97106"/>
    <w:rsid w:val="00F976F1"/>
    <w:rsid w:val="00FA086C"/>
    <w:rsid w:val="00FA0DD8"/>
    <w:rsid w:val="00FA229A"/>
    <w:rsid w:val="00FA2A13"/>
    <w:rsid w:val="00FA357B"/>
    <w:rsid w:val="00FA36E4"/>
    <w:rsid w:val="00FA4484"/>
    <w:rsid w:val="00FA46F3"/>
    <w:rsid w:val="00FA4FD7"/>
    <w:rsid w:val="00FA6715"/>
    <w:rsid w:val="00FA6BE6"/>
    <w:rsid w:val="00FA725F"/>
    <w:rsid w:val="00FA7658"/>
    <w:rsid w:val="00FB0196"/>
    <w:rsid w:val="00FB1921"/>
    <w:rsid w:val="00FB1D79"/>
    <w:rsid w:val="00FB2631"/>
    <w:rsid w:val="00FB3816"/>
    <w:rsid w:val="00FB398F"/>
    <w:rsid w:val="00FB46DC"/>
    <w:rsid w:val="00FB4974"/>
    <w:rsid w:val="00FB4A54"/>
    <w:rsid w:val="00FB4A9D"/>
    <w:rsid w:val="00FB76A4"/>
    <w:rsid w:val="00FB7BBC"/>
    <w:rsid w:val="00FC0709"/>
    <w:rsid w:val="00FC0756"/>
    <w:rsid w:val="00FC2213"/>
    <w:rsid w:val="00FC2AE8"/>
    <w:rsid w:val="00FC2FFC"/>
    <w:rsid w:val="00FC4190"/>
    <w:rsid w:val="00FC5086"/>
    <w:rsid w:val="00FC5255"/>
    <w:rsid w:val="00FC5CB1"/>
    <w:rsid w:val="00FC5D52"/>
    <w:rsid w:val="00FC76CE"/>
    <w:rsid w:val="00FC7A05"/>
    <w:rsid w:val="00FD3239"/>
    <w:rsid w:val="00FD3B8C"/>
    <w:rsid w:val="00FD488A"/>
    <w:rsid w:val="00FD4D5E"/>
    <w:rsid w:val="00FD5161"/>
    <w:rsid w:val="00FD533C"/>
    <w:rsid w:val="00FD5792"/>
    <w:rsid w:val="00FD5CAE"/>
    <w:rsid w:val="00FD5F9A"/>
    <w:rsid w:val="00FD66C1"/>
    <w:rsid w:val="00FD6D98"/>
    <w:rsid w:val="00FD6F58"/>
    <w:rsid w:val="00FD7542"/>
    <w:rsid w:val="00FD7823"/>
    <w:rsid w:val="00FD792B"/>
    <w:rsid w:val="00FE0DA4"/>
    <w:rsid w:val="00FE1335"/>
    <w:rsid w:val="00FE2096"/>
    <w:rsid w:val="00FE20B2"/>
    <w:rsid w:val="00FE2E3E"/>
    <w:rsid w:val="00FE3F76"/>
    <w:rsid w:val="00FE49E0"/>
    <w:rsid w:val="00FE5A6E"/>
    <w:rsid w:val="00FE67A1"/>
    <w:rsid w:val="00FE6AC8"/>
    <w:rsid w:val="00FE7C23"/>
    <w:rsid w:val="00FE7FB1"/>
    <w:rsid w:val="00FF0B1B"/>
    <w:rsid w:val="00FF2DD4"/>
    <w:rsid w:val="00FF3F5E"/>
    <w:rsid w:val="00FF6458"/>
    <w:rsid w:val="00FF65F4"/>
    <w:rsid w:val="00FF6991"/>
    <w:rsid w:val="00FF7007"/>
    <w:rsid w:val="00FF7AF2"/>
    <w:rsid w:val="012D2227"/>
    <w:rsid w:val="020B7D49"/>
    <w:rsid w:val="02193E76"/>
    <w:rsid w:val="026943DE"/>
    <w:rsid w:val="02B878FF"/>
    <w:rsid w:val="02CC5F12"/>
    <w:rsid w:val="035B1188"/>
    <w:rsid w:val="04A37D7F"/>
    <w:rsid w:val="04CD7B13"/>
    <w:rsid w:val="04D01DF1"/>
    <w:rsid w:val="0516010D"/>
    <w:rsid w:val="056D6B3B"/>
    <w:rsid w:val="058D427F"/>
    <w:rsid w:val="064410D3"/>
    <w:rsid w:val="06451DC1"/>
    <w:rsid w:val="06D973C3"/>
    <w:rsid w:val="06ED1A8F"/>
    <w:rsid w:val="071163AA"/>
    <w:rsid w:val="07774804"/>
    <w:rsid w:val="07A13275"/>
    <w:rsid w:val="07B01BD8"/>
    <w:rsid w:val="080E58B6"/>
    <w:rsid w:val="08DD1514"/>
    <w:rsid w:val="0AB55187"/>
    <w:rsid w:val="0AF81AF7"/>
    <w:rsid w:val="0C674393"/>
    <w:rsid w:val="0CD6393B"/>
    <w:rsid w:val="0D16451A"/>
    <w:rsid w:val="0DAF1561"/>
    <w:rsid w:val="0E4F08C3"/>
    <w:rsid w:val="0EAE0E4B"/>
    <w:rsid w:val="0F034F4F"/>
    <w:rsid w:val="0F332FC8"/>
    <w:rsid w:val="0F3D5D2B"/>
    <w:rsid w:val="1035457B"/>
    <w:rsid w:val="10A13334"/>
    <w:rsid w:val="119135A7"/>
    <w:rsid w:val="11BE4CD4"/>
    <w:rsid w:val="11C6025A"/>
    <w:rsid w:val="11E80530"/>
    <w:rsid w:val="11FE35F8"/>
    <w:rsid w:val="12142506"/>
    <w:rsid w:val="122200D7"/>
    <w:rsid w:val="12563F40"/>
    <w:rsid w:val="12F2507E"/>
    <w:rsid w:val="13651CF4"/>
    <w:rsid w:val="1389587F"/>
    <w:rsid w:val="138C5BE2"/>
    <w:rsid w:val="13C24BE1"/>
    <w:rsid w:val="148368D6"/>
    <w:rsid w:val="148F527B"/>
    <w:rsid w:val="14DB46BB"/>
    <w:rsid w:val="15556C98"/>
    <w:rsid w:val="15757AC2"/>
    <w:rsid w:val="15931F5D"/>
    <w:rsid w:val="16D54DD2"/>
    <w:rsid w:val="16E54997"/>
    <w:rsid w:val="174759B2"/>
    <w:rsid w:val="180860F6"/>
    <w:rsid w:val="182F44B6"/>
    <w:rsid w:val="18343AA4"/>
    <w:rsid w:val="1850799E"/>
    <w:rsid w:val="18611E94"/>
    <w:rsid w:val="18A03A42"/>
    <w:rsid w:val="18BF1EA7"/>
    <w:rsid w:val="18C910D2"/>
    <w:rsid w:val="1917601C"/>
    <w:rsid w:val="19AD7F51"/>
    <w:rsid w:val="19BC4DC1"/>
    <w:rsid w:val="19EA3DD7"/>
    <w:rsid w:val="1A8E7D82"/>
    <w:rsid w:val="1AB00366"/>
    <w:rsid w:val="1B5B1EF3"/>
    <w:rsid w:val="1B5E6164"/>
    <w:rsid w:val="1C2E681A"/>
    <w:rsid w:val="1C604813"/>
    <w:rsid w:val="1C9C4265"/>
    <w:rsid w:val="1CB0367A"/>
    <w:rsid w:val="1CD91643"/>
    <w:rsid w:val="1CFA4F26"/>
    <w:rsid w:val="1D6F28AF"/>
    <w:rsid w:val="1D8E4B92"/>
    <w:rsid w:val="1DE46FDB"/>
    <w:rsid w:val="1DE64116"/>
    <w:rsid w:val="1E895721"/>
    <w:rsid w:val="1ED57D2E"/>
    <w:rsid w:val="1F43795A"/>
    <w:rsid w:val="1FA7733D"/>
    <w:rsid w:val="1FD12E04"/>
    <w:rsid w:val="20B96BBD"/>
    <w:rsid w:val="20BD6BCD"/>
    <w:rsid w:val="20DF717B"/>
    <w:rsid w:val="21B61AE1"/>
    <w:rsid w:val="21E600FC"/>
    <w:rsid w:val="23177B5C"/>
    <w:rsid w:val="23665859"/>
    <w:rsid w:val="23735A5A"/>
    <w:rsid w:val="23881140"/>
    <w:rsid w:val="239D62E6"/>
    <w:rsid w:val="23A6613D"/>
    <w:rsid w:val="240B41F2"/>
    <w:rsid w:val="24A70458"/>
    <w:rsid w:val="24E5385D"/>
    <w:rsid w:val="255C4775"/>
    <w:rsid w:val="25E66CC5"/>
    <w:rsid w:val="25E8242F"/>
    <w:rsid w:val="25F807A6"/>
    <w:rsid w:val="25F86EDA"/>
    <w:rsid w:val="26DA24E7"/>
    <w:rsid w:val="2749750B"/>
    <w:rsid w:val="278E26DF"/>
    <w:rsid w:val="279B0E90"/>
    <w:rsid w:val="27AC6378"/>
    <w:rsid w:val="293646CD"/>
    <w:rsid w:val="29631CE7"/>
    <w:rsid w:val="29BB73B1"/>
    <w:rsid w:val="2A1910FA"/>
    <w:rsid w:val="2B287992"/>
    <w:rsid w:val="2BF246A7"/>
    <w:rsid w:val="2C086101"/>
    <w:rsid w:val="2C4C35F9"/>
    <w:rsid w:val="2CCD0296"/>
    <w:rsid w:val="2D3251C3"/>
    <w:rsid w:val="2DB02CA1"/>
    <w:rsid w:val="2E2D753E"/>
    <w:rsid w:val="2EEE5139"/>
    <w:rsid w:val="2F182C5D"/>
    <w:rsid w:val="2F387365"/>
    <w:rsid w:val="2F69560B"/>
    <w:rsid w:val="2FEF290A"/>
    <w:rsid w:val="30DA11D4"/>
    <w:rsid w:val="311147C5"/>
    <w:rsid w:val="3146754A"/>
    <w:rsid w:val="31746E89"/>
    <w:rsid w:val="31A013C1"/>
    <w:rsid w:val="327B51AE"/>
    <w:rsid w:val="3293788C"/>
    <w:rsid w:val="32C5617F"/>
    <w:rsid w:val="32DB4D90"/>
    <w:rsid w:val="32E70197"/>
    <w:rsid w:val="33A06A36"/>
    <w:rsid w:val="33DB256F"/>
    <w:rsid w:val="342E2B27"/>
    <w:rsid w:val="356A31A6"/>
    <w:rsid w:val="35D12EE6"/>
    <w:rsid w:val="35F27884"/>
    <w:rsid w:val="36033921"/>
    <w:rsid w:val="368671FA"/>
    <w:rsid w:val="368C68DE"/>
    <w:rsid w:val="37231407"/>
    <w:rsid w:val="375A0B8A"/>
    <w:rsid w:val="379028B4"/>
    <w:rsid w:val="37A75E0A"/>
    <w:rsid w:val="37C44CDE"/>
    <w:rsid w:val="389A004D"/>
    <w:rsid w:val="38A50F00"/>
    <w:rsid w:val="38D66179"/>
    <w:rsid w:val="390F4930"/>
    <w:rsid w:val="395C0F2D"/>
    <w:rsid w:val="39A04B49"/>
    <w:rsid w:val="39A62C24"/>
    <w:rsid w:val="39F03816"/>
    <w:rsid w:val="3B2A1263"/>
    <w:rsid w:val="3BF27C37"/>
    <w:rsid w:val="3C734B26"/>
    <w:rsid w:val="3C896968"/>
    <w:rsid w:val="3CDD3319"/>
    <w:rsid w:val="3D6771CE"/>
    <w:rsid w:val="3DC7157A"/>
    <w:rsid w:val="3DCB3CB1"/>
    <w:rsid w:val="3DD416D3"/>
    <w:rsid w:val="3DEC0798"/>
    <w:rsid w:val="3EC8157F"/>
    <w:rsid w:val="3F0A6471"/>
    <w:rsid w:val="3F8E587B"/>
    <w:rsid w:val="40266048"/>
    <w:rsid w:val="416F1695"/>
    <w:rsid w:val="41CA3066"/>
    <w:rsid w:val="41D242E4"/>
    <w:rsid w:val="41FC48E5"/>
    <w:rsid w:val="43292BDD"/>
    <w:rsid w:val="439B3E78"/>
    <w:rsid w:val="43AB040A"/>
    <w:rsid w:val="43B047BC"/>
    <w:rsid w:val="43FE5E2A"/>
    <w:rsid w:val="43FF4F80"/>
    <w:rsid w:val="44022793"/>
    <w:rsid w:val="440F2183"/>
    <w:rsid w:val="44204C51"/>
    <w:rsid w:val="444035EC"/>
    <w:rsid w:val="44A45A46"/>
    <w:rsid w:val="44D65FFB"/>
    <w:rsid w:val="453F3223"/>
    <w:rsid w:val="455C6204"/>
    <w:rsid w:val="45C255A6"/>
    <w:rsid w:val="45CE4243"/>
    <w:rsid w:val="46390D16"/>
    <w:rsid w:val="46486A69"/>
    <w:rsid w:val="46EB5C93"/>
    <w:rsid w:val="4737191C"/>
    <w:rsid w:val="475F3D89"/>
    <w:rsid w:val="476D4FFD"/>
    <w:rsid w:val="47FD6734"/>
    <w:rsid w:val="4828696B"/>
    <w:rsid w:val="48927468"/>
    <w:rsid w:val="49106C6A"/>
    <w:rsid w:val="4A06790B"/>
    <w:rsid w:val="4AD1014D"/>
    <w:rsid w:val="4BB918E1"/>
    <w:rsid w:val="4BE64A79"/>
    <w:rsid w:val="4C6600D8"/>
    <w:rsid w:val="4D0A4DA3"/>
    <w:rsid w:val="4D387B9B"/>
    <w:rsid w:val="4D67577E"/>
    <w:rsid w:val="4D68019F"/>
    <w:rsid w:val="4DA42E3E"/>
    <w:rsid w:val="4E092A91"/>
    <w:rsid w:val="4E5B1B9D"/>
    <w:rsid w:val="4E8307AD"/>
    <w:rsid w:val="4E983047"/>
    <w:rsid w:val="4EAF09C0"/>
    <w:rsid w:val="50612FD7"/>
    <w:rsid w:val="50A9586A"/>
    <w:rsid w:val="51334484"/>
    <w:rsid w:val="51A56664"/>
    <w:rsid w:val="51C672F4"/>
    <w:rsid w:val="51DA09A1"/>
    <w:rsid w:val="520B5239"/>
    <w:rsid w:val="52491CC5"/>
    <w:rsid w:val="526132DE"/>
    <w:rsid w:val="52807369"/>
    <w:rsid w:val="53037644"/>
    <w:rsid w:val="533E624F"/>
    <w:rsid w:val="537F624F"/>
    <w:rsid w:val="54252905"/>
    <w:rsid w:val="54537587"/>
    <w:rsid w:val="548163A5"/>
    <w:rsid w:val="549A0AF6"/>
    <w:rsid w:val="54BB6A32"/>
    <w:rsid w:val="55627866"/>
    <w:rsid w:val="55894A97"/>
    <w:rsid w:val="559D4AB5"/>
    <w:rsid w:val="56113409"/>
    <w:rsid w:val="567B29B7"/>
    <w:rsid w:val="56AD10C8"/>
    <w:rsid w:val="57BD0771"/>
    <w:rsid w:val="57DE0CFA"/>
    <w:rsid w:val="57E2534B"/>
    <w:rsid w:val="58902A1F"/>
    <w:rsid w:val="58F846B0"/>
    <w:rsid w:val="59E17ECD"/>
    <w:rsid w:val="5A142217"/>
    <w:rsid w:val="5A363ED7"/>
    <w:rsid w:val="5A6973A2"/>
    <w:rsid w:val="5AA77AC9"/>
    <w:rsid w:val="5B1D5865"/>
    <w:rsid w:val="5B7A695C"/>
    <w:rsid w:val="5BA454AD"/>
    <w:rsid w:val="5C060990"/>
    <w:rsid w:val="5C2F6EBF"/>
    <w:rsid w:val="5CA071B9"/>
    <w:rsid w:val="5D225F5F"/>
    <w:rsid w:val="5D3D0473"/>
    <w:rsid w:val="5D6B1282"/>
    <w:rsid w:val="5D6D354B"/>
    <w:rsid w:val="5D8F5D8E"/>
    <w:rsid w:val="5DBC28C9"/>
    <w:rsid w:val="5DFA0D4C"/>
    <w:rsid w:val="5E5555EF"/>
    <w:rsid w:val="5ED557F2"/>
    <w:rsid w:val="5FD76641"/>
    <w:rsid w:val="60116111"/>
    <w:rsid w:val="60263D48"/>
    <w:rsid w:val="60595751"/>
    <w:rsid w:val="60DD4704"/>
    <w:rsid w:val="61783CDF"/>
    <w:rsid w:val="63234FD9"/>
    <w:rsid w:val="63332842"/>
    <w:rsid w:val="63387055"/>
    <w:rsid w:val="634E256F"/>
    <w:rsid w:val="63665B09"/>
    <w:rsid w:val="64B13A1E"/>
    <w:rsid w:val="650001DA"/>
    <w:rsid w:val="65232238"/>
    <w:rsid w:val="6554084E"/>
    <w:rsid w:val="65624C0B"/>
    <w:rsid w:val="65A92947"/>
    <w:rsid w:val="65F67629"/>
    <w:rsid w:val="65FA4BB0"/>
    <w:rsid w:val="662A7FC5"/>
    <w:rsid w:val="6678518B"/>
    <w:rsid w:val="66FA65C0"/>
    <w:rsid w:val="6732696D"/>
    <w:rsid w:val="67F03A8F"/>
    <w:rsid w:val="67FE74B8"/>
    <w:rsid w:val="68033A4C"/>
    <w:rsid w:val="680E58E1"/>
    <w:rsid w:val="68F3397E"/>
    <w:rsid w:val="694148B0"/>
    <w:rsid w:val="695A41A2"/>
    <w:rsid w:val="69935800"/>
    <w:rsid w:val="69E04866"/>
    <w:rsid w:val="69F45B48"/>
    <w:rsid w:val="6A1459BC"/>
    <w:rsid w:val="6A515BCF"/>
    <w:rsid w:val="6A955B90"/>
    <w:rsid w:val="6B0679D3"/>
    <w:rsid w:val="6BE14E89"/>
    <w:rsid w:val="6C1F0250"/>
    <w:rsid w:val="6C3C3940"/>
    <w:rsid w:val="6CA1285A"/>
    <w:rsid w:val="6CA8075D"/>
    <w:rsid w:val="6CA85A53"/>
    <w:rsid w:val="6D8166EA"/>
    <w:rsid w:val="6F2D7092"/>
    <w:rsid w:val="6F3A77CA"/>
    <w:rsid w:val="6FDA0310"/>
    <w:rsid w:val="70924E4D"/>
    <w:rsid w:val="71020D0D"/>
    <w:rsid w:val="71081E06"/>
    <w:rsid w:val="712C1D30"/>
    <w:rsid w:val="714C3D9D"/>
    <w:rsid w:val="71AF1737"/>
    <w:rsid w:val="71CA692D"/>
    <w:rsid w:val="725A3947"/>
    <w:rsid w:val="7345743D"/>
    <w:rsid w:val="73583162"/>
    <w:rsid w:val="735B0F35"/>
    <w:rsid w:val="73EF3D7E"/>
    <w:rsid w:val="743D5D9D"/>
    <w:rsid w:val="747131CA"/>
    <w:rsid w:val="74890514"/>
    <w:rsid w:val="74A239DD"/>
    <w:rsid w:val="75192D76"/>
    <w:rsid w:val="763444AF"/>
    <w:rsid w:val="76F476FF"/>
    <w:rsid w:val="77077E12"/>
    <w:rsid w:val="773344CF"/>
    <w:rsid w:val="77B42C43"/>
    <w:rsid w:val="78D07C70"/>
    <w:rsid w:val="78DC55E3"/>
    <w:rsid w:val="796D70C9"/>
    <w:rsid w:val="79DC1996"/>
    <w:rsid w:val="7A377482"/>
    <w:rsid w:val="7AAD712C"/>
    <w:rsid w:val="7AB73C0A"/>
    <w:rsid w:val="7B4B342B"/>
    <w:rsid w:val="7C472801"/>
    <w:rsid w:val="7CA87DB1"/>
    <w:rsid w:val="7CB453B3"/>
    <w:rsid w:val="7D3950B2"/>
    <w:rsid w:val="7DC21B5E"/>
    <w:rsid w:val="7EE747B5"/>
    <w:rsid w:val="7F3C28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iPriority="0" w:name="heading 8"/>
    <w:lsdException w:qFormat="1" w:unhideWhenUsed="0" w:uiPriority="0" w:semiHidden="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qFormat="1"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59"/>
    <w:autoRedefine/>
    <w:qFormat/>
    <w:uiPriority w:val="9"/>
    <w:pPr>
      <w:keepNext/>
      <w:jc w:val="center"/>
      <w:outlineLvl w:val="0"/>
    </w:pPr>
    <w:rPr>
      <w:b/>
      <w:sz w:val="28"/>
    </w:rPr>
  </w:style>
  <w:style w:type="paragraph" w:styleId="4">
    <w:name w:val="heading 2"/>
    <w:basedOn w:val="1"/>
    <w:next w:val="1"/>
    <w:link w:val="60"/>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61"/>
    <w:autoRedefine/>
    <w:qFormat/>
    <w:uiPriority w:val="9"/>
    <w:pPr>
      <w:keepNext/>
      <w:keepLines/>
      <w:spacing w:before="260" w:after="260" w:line="416" w:lineRule="auto"/>
      <w:outlineLvl w:val="2"/>
    </w:pPr>
    <w:rPr>
      <w:b/>
      <w:bCs/>
      <w:sz w:val="32"/>
      <w:szCs w:val="32"/>
    </w:rPr>
  </w:style>
  <w:style w:type="paragraph" w:styleId="6">
    <w:name w:val="heading 4"/>
    <w:basedOn w:val="1"/>
    <w:next w:val="1"/>
    <w:link w:val="62"/>
    <w:autoRedefine/>
    <w:qFormat/>
    <w:uiPriority w:val="0"/>
    <w:pPr>
      <w:widowControl/>
      <w:spacing w:before="100" w:beforeAutospacing="1" w:after="100" w:afterAutospacing="1"/>
      <w:jc w:val="left"/>
      <w:outlineLvl w:val="3"/>
    </w:pPr>
    <w:rPr>
      <w:rFonts w:ascii="宋体" w:hAnsi="宋体"/>
      <w:b/>
      <w:bCs/>
      <w:kern w:val="0"/>
      <w:sz w:val="24"/>
      <w:szCs w:val="24"/>
    </w:rPr>
  </w:style>
  <w:style w:type="paragraph" w:styleId="7">
    <w:name w:val="heading 5"/>
    <w:basedOn w:val="1"/>
    <w:next w:val="1"/>
    <w:link w:val="63"/>
    <w:autoRedefine/>
    <w:qFormat/>
    <w:uiPriority w:val="0"/>
    <w:pPr>
      <w:widowControl/>
      <w:spacing w:before="100" w:beforeAutospacing="1" w:after="100" w:afterAutospacing="1"/>
      <w:jc w:val="left"/>
      <w:outlineLvl w:val="4"/>
    </w:pPr>
    <w:rPr>
      <w:rFonts w:ascii="Arial Unicode MS" w:hAnsi="Arial Unicode MS" w:eastAsia="Arial Unicode MS"/>
      <w:b/>
      <w:bCs/>
      <w:kern w:val="0"/>
      <w:sz w:val="20"/>
    </w:rPr>
  </w:style>
  <w:style w:type="paragraph" w:styleId="8">
    <w:name w:val="heading 6"/>
    <w:basedOn w:val="1"/>
    <w:next w:val="1"/>
    <w:link w:val="64"/>
    <w:autoRedefine/>
    <w:qFormat/>
    <w:uiPriority w:val="0"/>
    <w:pPr>
      <w:widowControl/>
      <w:spacing w:before="100" w:beforeAutospacing="1" w:after="100" w:afterAutospacing="1"/>
      <w:jc w:val="left"/>
      <w:outlineLvl w:val="5"/>
    </w:pPr>
    <w:rPr>
      <w:rFonts w:ascii="宋体" w:hAnsi="宋体"/>
      <w:b/>
      <w:bCs/>
      <w:kern w:val="0"/>
      <w:sz w:val="15"/>
      <w:szCs w:val="15"/>
    </w:rPr>
  </w:style>
  <w:style w:type="paragraph" w:styleId="9">
    <w:name w:val="heading 7"/>
    <w:basedOn w:val="1"/>
    <w:next w:val="1"/>
    <w:link w:val="65"/>
    <w:autoRedefine/>
    <w:qFormat/>
    <w:uiPriority w:val="9"/>
    <w:pPr>
      <w:keepNext/>
      <w:keepLines/>
      <w:tabs>
        <w:tab w:val="left" w:pos="420"/>
      </w:tabs>
      <w:autoSpaceDN w:val="0"/>
      <w:spacing w:before="240" w:after="64" w:line="320" w:lineRule="auto"/>
      <w:ind w:left="420" w:hanging="420"/>
      <w:outlineLvl w:val="6"/>
    </w:pPr>
    <w:rPr>
      <w:rFonts w:ascii="仿宋_GB2312" w:hAnsi="宋体" w:eastAsia="仿宋_GB2312" w:cs="宋体"/>
      <w:b/>
      <w:bCs/>
      <w:sz w:val="24"/>
      <w:szCs w:val="24"/>
    </w:rPr>
  </w:style>
  <w:style w:type="paragraph" w:styleId="10">
    <w:name w:val="heading 9"/>
    <w:basedOn w:val="1"/>
    <w:next w:val="11"/>
    <w:link w:val="66"/>
    <w:autoRedefine/>
    <w:qFormat/>
    <w:uiPriority w:val="0"/>
    <w:pPr>
      <w:autoSpaceDE w:val="0"/>
      <w:autoSpaceDN w:val="0"/>
      <w:adjustRightInd w:val="0"/>
      <w:spacing w:before="200" w:after="200" w:line="360" w:lineRule="auto"/>
      <w:jc w:val="left"/>
      <w:outlineLvl w:val="8"/>
    </w:pPr>
    <w:rPr>
      <w:rFonts w:ascii="黑体" w:hAnsi="Arial" w:eastAsia="黑体"/>
      <w:kern w:val="0"/>
      <w:sz w:val="28"/>
    </w:rPr>
  </w:style>
  <w:style w:type="character" w:default="1" w:styleId="47">
    <w:name w:val="Default Paragraph Font"/>
    <w:autoRedefine/>
    <w:semiHidden/>
    <w:unhideWhenUsed/>
    <w:qFormat/>
    <w:uiPriority w:val="1"/>
  </w:style>
  <w:style w:type="table" w:default="1" w:styleId="45">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link w:val="67"/>
    <w:autoRedefine/>
    <w:qFormat/>
    <w:uiPriority w:val="0"/>
    <w:pPr>
      <w:snapToGrid w:val="0"/>
      <w:spacing w:line="360" w:lineRule="auto"/>
      <w:ind w:firstLine="567"/>
    </w:pPr>
    <w:rPr>
      <w:sz w:val="28"/>
    </w:rPr>
  </w:style>
  <w:style w:type="paragraph" w:customStyle="1" w:styleId="11">
    <w:name w:val="正文（首行缩进两字）"/>
    <w:basedOn w:val="1"/>
    <w:autoRedefine/>
    <w:qFormat/>
    <w:uiPriority w:val="0"/>
    <w:pPr>
      <w:autoSpaceDN w:val="0"/>
    </w:pPr>
    <w:rPr>
      <w:rFonts w:ascii="仿宋_GB2312" w:hAnsi="宋体" w:eastAsia="仿宋_GB2312" w:cs="宋体"/>
      <w:sz w:val="28"/>
      <w:szCs w:val="24"/>
    </w:rPr>
  </w:style>
  <w:style w:type="paragraph" w:styleId="12">
    <w:name w:val="toc 7"/>
    <w:basedOn w:val="1"/>
    <w:next w:val="1"/>
    <w:autoRedefine/>
    <w:unhideWhenUsed/>
    <w:qFormat/>
    <w:uiPriority w:val="0"/>
    <w:pPr>
      <w:ind w:left="1260"/>
      <w:jc w:val="left"/>
    </w:pPr>
    <w:rPr>
      <w:szCs w:val="21"/>
    </w:rPr>
  </w:style>
  <w:style w:type="paragraph" w:styleId="13">
    <w:name w:val="Document Map"/>
    <w:basedOn w:val="1"/>
    <w:link w:val="68"/>
    <w:autoRedefine/>
    <w:unhideWhenUsed/>
    <w:qFormat/>
    <w:uiPriority w:val="0"/>
    <w:pPr>
      <w:shd w:val="clear" w:color="auto" w:fill="000080"/>
    </w:pPr>
  </w:style>
  <w:style w:type="paragraph" w:styleId="14">
    <w:name w:val="annotation text"/>
    <w:basedOn w:val="1"/>
    <w:link w:val="69"/>
    <w:autoRedefine/>
    <w:qFormat/>
    <w:uiPriority w:val="0"/>
    <w:pPr>
      <w:jc w:val="left"/>
    </w:pPr>
  </w:style>
  <w:style w:type="paragraph" w:styleId="15">
    <w:name w:val="Salutation"/>
    <w:basedOn w:val="1"/>
    <w:next w:val="1"/>
    <w:link w:val="70"/>
    <w:autoRedefine/>
    <w:qFormat/>
    <w:uiPriority w:val="0"/>
    <w:rPr>
      <w:rFonts w:ascii="宋体" w:hAnsi="Bookman Old Style"/>
    </w:rPr>
  </w:style>
  <w:style w:type="paragraph" w:styleId="16">
    <w:name w:val="Closing"/>
    <w:basedOn w:val="1"/>
    <w:next w:val="1"/>
    <w:link w:val="71"/>
    <w:autoRedefine/>
    <w:qFormat/>
    <w:uiPriority w:val="0"/>
    <w:pPr>
      <w:ind w:left="4320"/>
    </w:pPr>
    <w:rPr>
      <w:rFonts w:ascii="宋体" w:hAnsi="Bookman Old Style"/>
    </w:rPr>
  </w:style>
  <w:style w:type="paragraph" w:styleId="17">
    <w:name w:val="Body Text"/>
    <w:basedOn w:val="1"/>
    <w:link w:val="72"/>
    <w:autoRedefine/>
    <w:qFormat/>
    <w:uiPriority w:val="0"/>
    <w:pPr>
      <w:spacing w:line="360" w:lineRule="auto"/>
    </w:pPr>
    <w:rPr>
      <w:rFonts w:ascii="宋体"/>
      <w:spacing w:val="10"/>
      <w:sz w:val="24"/>
    </w:rPr>
  </w:style>
  <w:style w:type="paragraph" w:styleId="18">
    <w:name w:val="Body Text Indent"/>
    <w:basedOn w:val="1"/>
    <w:link w:val="73"/>
    <w:autoRedefine/>
    <w:qFormat/>
    <w:uiPriority w:val="0"/>
    <w:pPr>
      <w:ind w:firstLine="525"/>
    </w:pPr>
    <w:rPr>
      <w:sz w:val="28"/>
    </w:rPr>
  </w:style>
  <w:style w:type="paragraph" w:styleId="19">
    <w:name w:val="List 2"/>
    <w:basedOn w:val="1"/>
    <w:autoRedefine/>
    <w:qFormat/>
    <w:uiPriority w:val="0"/>
    <w:pPr>
      <w:adjustRightInd w:val="0"/>
      <w:spacing w:line="312" w:lineRule="atLeast"/>
      <w:ind w:left="840" w:hanging="420"/>
      <w:textAlignment w:val="baseline"/>
    </w:pPr>
    <w:rPr>
      <w:kern w:val="0"/>
    </w:rPr>
  </w:style>
  <w:style w:type="paragraph" w:styleId="20">
    <w:name w:val="Block Text"/>
    <w:basedOn w:val="1"/>
    <w:autoRedefine/>
    <w:qFormat/>
    <w:uiPriority w:val="0"/>
    <w:pPr>
      <w:ind w:left="56" w:leftChars="20" w:right="285" w:hanging="2"/>
    </w:pPr>
    <w:rPr>
      <w:snapToGrid w:val="0"/>
      <w:kern w:val="0"/>
    </w:rPr>
  </w:style>
  <w:style w:type="paragraph" w:styleId="21">
    <w:name w:val="toc 5"/>
    <w:basedOn w:val="1"/>
    <w:next w:val="1"/>
    <w:autoRedefine/>
    <w:unhideWhenUsed/>
    <w:qFormat/>
    <w:uiPriority w:val="0"/>
    <w:pPr>
      <w:ind w:left="840"/>
      <w:jc w:val="left"/>
    </w:pPr>
    <w:rPr>
      <w:szCs w:val="21"/>
    </w:rPr>
  </w:style>
  <w:style w:type="paragraph" w:styleId="22">
    <w:name w:val="toc 3"/>
    <w:basedOn w:val="1"/>
    <w:next w:val="1"/>
    <w:autoRedefine/>
    <w:unhideWhenUsed/>
    <w:qFormat/>
    <w:uiPriority w:val="39"/>
    <w:pPr>
      <w:ind w:left="840" w:leftChars="400"/>
    </w:pPr>
    <w:rPr>
      <w:rFonts w:ascii="Calibri" w:hAnsi="Calibri"/>
      <w:szCs w:val="22"/>
    </w:rPr>
  </w:style>
  <w:style w:type="paragraph" w:styleId="23">
    <w:name w:val="Plain Text"/>
    <w:basedOn w:val="1"/>
    <w:link w:val="74"/>
    <w:autoRedefine/>
    <w:qFormat/>
    <w:uiPriority w:val="0"/>
    <w:rPr>
      <w:rFonts w:ascii="宋体" w:hAnsi="Courier New"/>
    </w:rPr>
  </w:style>
  <w:style w:type="paragraph" w:styleId="24">
    <w:name w:val="toc 8"/>
    <w:basedOn w:val="1"/>
    <w:next w:val="1"/>
    <w:autoRedefine/>
    <w:unhideWhenUsed/>
    <w:qFormat/>
    <w:uiPriority w:val="0"/>
    <w:pPr>
      <w:ind w:left="1470"/>
      <w:jc w:val="left"/>
    </w:pPr>
    <w:rPr>
      <w:szCs w:val="21"/>
    </w:rPr>
  </w:style>
  <w:style w:type="paragraph" w:styleId="25">
    <w:name w:val="Date"/>
    <w:basedOn w:val="1"/>
    <w:next w:val="1"/>
    <w:link w:val="75"/>
    <w:autoRedefine/>
    <w:qFormat/>
    <w:uiPriority w:val="0"/>
  </w:style>
  <w:style w:type="paragraph" w:styleId="26">
    <w:name w:val="Body Text Indent 2"/>
    <w:basedOn w:val="1"/>
    <w:link w:val="76"/>
    <w:autoRedefine/>
    <w:qFormat/>
    <w:uiPriority w:val="0"/>
    <w:pPr>
      <w:spacing w:line="360" w:lineRule="auto"/>
      <w:ind w:left="476" w:hanging="238"/>
      <w:jc w:val="left"/>
    </w:pPr>
    <w:rPr>
      <w:rFonts w:ascii="宋体" w:hAnsi="Bookman Old Style"/>
    </w:rPr>
  </w:style>
  <w:style w:type="paragraph" w:styleId="27">
    <w:name w:val="Balloon Text"/>
    <w:basedOn w:val="1"/>
    <w:link w:val="77"/>
    <w:autoRedefine/>
    <w:qFormat/>
    <w:uiPriority w:val="99"/>
    <w:rPr>
      <w:sz w:val="18"/>
      <w:szCs w:val="18"/>
    </w:rPr>
  </w:style>
  <w:style w:type="paragraph" w:styleId="28">
    <w:name w:val="footer"/>
    <w:basedOn w:val="1"/>
    <w:link w:val="78"/>
    <w:autoRedefine/>
    <w:qFormat/>
    <w:uiPriority w:val="99"/>
    <w:pPr>
      <w:tabs>
        <w:tab w:val="center" w:pos="4153"/>
        <w:tab w:val="right" w:pos="8306"/>
      </w:tabs>
      <w:snapToGrid w:val="0"/>
      <w:jc w:val="left"/>
    </w:pPr>
    <w:rPr>
      <w:sz w:val="18"/>
    </w:rPr>
  </w:style>
  <w:style w:type="paragraph" w:styleId="29">
    <w:name w:val="header"/>
    <w:basedOn w:val="1"/>
    <w:link w:val="79"/>
    <w:autoRedefine/>
    <w:qFormat/>
    <w:uiPriority w:val="99"/>
    <w:pPr>
      <w:pBdr>
        <w:bottom w:val="single" w:color="auto" w:sz="6" w:space="1"/>
      </w:pBdr>
      <w:tabs>
        <w:tab w:val="center" w:pos="4153"/>
        <w:tab w:val="right" w:pos="8306"/>
      </w:tabs>
      <w:snapToGrid w:val="0"/>
      <w:jc w:val="center"/>
    </w:pPr>
    <w:rPr>
      <w:sz w:val="18"/>
    </w:rPr>
  </w:style>
  <w:style w:type="paragraph" w:styleId="30">
    <w:name w:val="toc 1"/>
    <w:basedOn w:val="1"/>
    <w:next w:val="1"/>
    <w:autoRedefine/>
    <w:qFormat/>
    <w:uiPriority w:val="39"/>
    <w:pPr>
      <w:tabs>
        <w:tab w:val="right" w:leader="dot" w:pos="8448"/>
      </w:tabs>
    </w:pPr>
  </w:style>
  <w:style w:type="paragraph" w:styleId="31">
    <w:name w:val="toc 4"/>
    <w:basedOn w:val="1"/>
    <w:next w:val="1"/>
    <w:autoRedefine/>
    <w:unhideWhenUsed/>
    <w:qFormat/>
    <w:uiPriority w:val="0"/>
    <w:pPr>
      <w:ind w:left="630"/>
      <w:jc w:val="left"/>
    </w:pPr>
    <w:rPr>
      <w:szCs w:val="21"/>
    </w:rPr>
  </w:style>
  <w:style w:type="paragraph" w:styleId="32">
    <w:name w:val="List"/>
    <w:basedOn w:val="1"/>
    <w:autoRedefine/>
    <w:qFormat/>
    <w:uiPriority w:val="0"/>
    <w:pPr>
      <w:ind w:left="200" w:hanging="200" w:hangingChars="200"/>
      <w:contextualSpacing/>
    </w:pPr>
  </w:style>
  <w:style w:type="paragraph" w:styleId="33">
    <w:name w:val="footnote text"/>
    <w:basedOn w:val="1"/>
    <w:link w:val="80"/>
    <w:autoRedefine/>
    <w:qFormat/>
    <w:uiPriority w:val="0"/>
    <w:pPr>
      <w:adjustRightInd w:val="0"/>
      <w:spacing w:line="312" w:lineRule="atLeast"/>
      <w:jc w:val="left"/>
      <w:textAlignment w:val="baseline"/>
    </w:pPr>
    <w:rPr>
      <w:kern w:val="0"/>
      <w:sz w:val="18"/>
    </w:rPr>
  </w:style>
  <w:style w:type="paragraph" w:styleId="34">
    <w:name w:val="toc 6"/>
    <w:basedOn w:val="1"/>
    <w:next w:val="1"/>
    <w:autoRedefine/>
    <w:unhideWhenUsed/>
    <w:qFormat/>
    <w:uiPriority w:val="0"/>
    <w:pPr>
      <w:ind w:left="1050"/>
      <w:jc w:val="left"/>
    </w:pPr>
    <w:rPr>
      <w:szCs w:val="21"/>
    </w:rPr>
  </w:style>
  <w:style w:type="paragraph" w:styleId="35">
    <w:name w:val="Body Text Indent 3"/>
    <w:basedOn w:val="1"/>
    <w:link w:val="81"/>
    <w:autoRedefine/>
    <w:qFormat/>
    <w:uiPriority w:val="0"/>
    <w:pPr>
      <w:spacing w:line="360" w:lineRule="auto"/>
      <w:ind w:firstLine="525"/>
    </w:pPr>
    <w:rPr>
      <w:kern w:val="0"/>
      <w:sz w:val="24"/>
    </w:rPr>
  </w:style>
  <w:style w:type="paragraph" w:styleId="36">
    <w:name w:val="table of figures"/>
    <w:basedOn w:val="1"/>
    <w:next w:val="1"/>
    <w:autoRedefine/>
    <w:qFormat/>
    <w:uiPriority w:val="0"/>
    <w:pPr>
      <w:adjustRightInd w:val="0"/>
      <w:snapToGrid w:val="0"/>
    </w:pPr>
    <w:rPr>
      <w:rFonts w:ascii="华文细黑" w:eastAsia="华文细黑"/>
      <w:b/>
      <w:sz w:val="18"/>
      <w:szCs w:val="18"/>
    </w:rPr>
  </w:style>
  <w:style w:type="paragraph" w:styleId="37">
    <w:name w:val="toc 2"/>
    <w:basedOn w:val="1"/>
    <w:next w:val="1"/>
    <w:autoRedefine/>
    <w:qFormat/>
    <w:uiPriority w:val="39"/>
    <w:pPr>
      <w:ind w:left="420" w:leftChars="200"/>
    </w:pPr>
  </w:style>
  <w:style w:type="paragraph" w:styleId="38">
    <w:name w:val="toc 9"/>
    <w:basedOn w:val="1"/>
    <w:next w:val="1"/>
    <w:autoRedefine/>
    <w:unhideWhenUsed/>
    <w:qFormat/>
    <w:uiPriority w:val="0"/>
    <w:pPr>
      <w:ind w:left="1680"/>
      <w:jc w:val="left"/>
    </w:pPr>
    <w:rPr>
      <w:szCs w:val="21"/>
    </w:rPr>
  </w:style>
  <w:style w:type="paragraph" w:styleId="39">
    <w:name w:val="Body Text 2"/>
    <w:basedOn w:val="1"/>
    <w:link w:val="82"/>
    <w:autoRedefine/>
    <w:qFormat/>
    <w:uiPriority w:val="0"/>
    <w:pPr>
      <w:adjustRightInd w:val="0"/>
      <w:snapToGrid w:val="0"/>
      <w:jc w:val="center"/>
    </w:pPr>
    <w:rPr>
      <w:rFonts w:eastAsia="仿宋_GB2312"/>
      <w:spacing w:val="-8"/>
    </w:rPr>
  </w:style>
  <w:style w:type="paragraph" w:styleId="40">
    <w:name w:val="HTML Preformatted"/>
    <w:basedOn w:val="1"/>
    <w:link w:val="8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41">
    <w:name w:val="Normal (Web)"/>
    <w:basedOn w:val="1"/>
    <w:autoRedefine/>
    <w:qFormat/>
    <w:uiPriority w:val="99"/>
    <w:pPr>
      <w:widowControl/>
      <w:spacing w:before="100" w:beforeAutospacing="1" w:after="100" w:afterAutospacing="1"/>
      <w:jc w:val="left"/>
    </w:pPr>
    <w:rPr>
      <w:rFonts w:ascii="宋体" w:hAnsi="宋体"/>
      <w:color w:val="000000"/>
      <w:kern w:val="0"/>
      <w:sz w:val="24"/>
    </w:rPr>
  </w:style>
  <w:style w:type="paragraph" w:styleId="42">
    <w:name w:val="index 1"/>
    <w:basedOn w:val="1"/>
    <w:next w:val="1"/>
    <w:autoRedefine/>
    <w:unhideWhenUsed/>
    <w:qFormat/>
    <w:uiPriority w:val="99"/>
    <w:rPr>
      <w:rFonts w:eastAsia="仿宋_GB2312"/>
    </w:rPr>
  </w:style>
  <w:style w:type="paragraph" w:styleId="43">
    <w:name w:val="Title"/>
    <w:basedOn w:val="7"/>
    <w:link w:val="84"/>
    <w:autoRedefine/>
    <w:qFormat/>
    <w:uiPriority w:val="10"/>
    <w:pPr>
      <w:spacing w:beforeLines="100" w:afterLines="100"/>
      <w:ind w:firstLine="320" w:firstLineChars="38"/>
      <w:jc w:val="center"/>
    </w:pPr>
    <w:rPr>
      <w:rFonts w:ascii="黑体" w:hAnsi="宋体" w:eastAsia="黑体"/>
      <w:sz w:val="84"/>
      <w:szCs w:val="84"/>
    </w:rPr>
  </w:style>
  <w:style w:type="paragraph" w:styleId="44">
    <w:name w:val="annotation subject"/>
    <w:basedOn w:val="14"/>
    <w:next w:val="14"/>
    <w:link w:val="85"/>
    <w:autoRedefine/>
    <w:qFormat/>
    <w:uiPriority w:val="0"/>
    <w:rPr>
      <w:b/>
      <w:bCs/>
    </w:rPr>
  </w:style>
  <w:style w:type="table" w:styleId="46">
    <w:name w:val="Table Grid"/>
    <w:basedOn w:val="4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autoRedefine/>
    <w:qFormat/>
    <w:uiPriority w:val="22"/>
    <w:rPr>
      <w:b/>
      <w:bCs/>
    </w:rPr>
  </w:style>
  <w:style w:type="character" w:styleId="49">
    <w:name w:val="page number"/>
    <w:basedOn w:val="47"/>
    <w:autoRedefine/>
    <w:qFormat/>
    <w:uiPriority w:val="0"/>
  </w:style>
  <w:style w:type="character" w:styleId="50">
    <w:name w:val="FollowedHyperlink"/>
    <w:basedOn w:val="47"/>
    <w:autoRedefine/>
    <w:qFormat/>
    <w:uiPriority w:val="0"/>
    <w:rPr>
      <w:color w:val="800080"/>
      <w:u w:val="single"/>
    </w:rPr>
  </w:style>
  <w:style w:type="character" w:styleId="51">
    <w:name w:val="Emphasis"/>
    <w:basedOn w:val="47"/>
    <w:autoRedefine/>
    <w:qFormat/>
    <w:uiPriority w:val="0"/>
    <w:rPr>
      <w:i/>
      <w:iCs/>
    </w:rPr>
  </w:style>
  <w:style w:type="character" w:styleId="52">
    <w:name w:val="line number"/>
    <w:basedOn w:val="47"/>
    <w:autoRedefine/>
    <w:qFormat/>
    <w:uiPriority w:val="0"/>
  </w:style>
  <w:style w:type="character" w:styleId="53">
    <w:name w:val="Hyperlink"/>
    <w:basedOn w:val="47"/>
    <w:autoRedefine/>
    <w:qFormat/>
    <w:uiPriority w:val="99"/>
    <w:rPr>
      <w:color w:val="0000FF"/>
      <w:u w:val="single"/>
    </w:rPr>
  </w:style>
  <w:style w:type="character" w:styleId="54">
    <w:name w:val="HTML Code"/>
    <w:autoRedefine/>
    <w:qFormat/>
    <w:uiPriority w:val="0"/>
    <w:rPr>
      <w:rFonts w:ascii="宋体" w:hAnsi="宋体" w:eastAsia="宋体" w:cs="宋体"/>
      <w:spacing w:val="0"/>
      <w:sz w:val="24"/>
      <w:szCs w:val="24"/>
    </w:rPr>
  </w:style>
  <w:style w:type="character" w:styleId="55">
    <w:name w:val="annotation reference"/>
    <w:basedOn w:val="47"/>
    <w:autoRedefine/>
    <w:qFormat/>
    <w:uiPriority w:val="0"/>
    <w:rPr>
      <w:sz w:val="21"/>
    </w:rPr>
  </w:style>
  <w:style w:type="character" w:styleId="56">
    <w:name w:val="HTML Cite"/>
    <w:autoRedefine/>
    <w:qFormat/>
    <w:uiPriority w:val="0"/>
    <w:rPr>
      <w:i/>
      <w:iCs/>
      <w:spacing w:val="0"/>
      <w:sz w:val="21"/>
    </w:rPr>
  </w:style>
  <w:style w:type="character" w:styleId="57">
    <w:name w:val="footnote reference"/>
    <w:autoRedefine/>
    <w:qFormat/>
    <w:uiPriority w:val="0"/>
    <w:rPr>
      <w:vertAlign w:val="superscript"/>
    </w:rPr>
  </w:style>
  <w:style w:type="paragraph" w:customStyle="1" w:styleId="58">
    <w:name w:val="Default"/>
    <w:autoRedefine/>
    <w:qFormat/>
    <w:uiPriority w:val="0"/>
    <w:pPr>
      <w:widowControl w:val="0"/>
      <w:autoSpaceDE w:val="0"/>
      <w:autoSpaceDN w:val="0"/>
      <w:adjustRightInd w:val="0"/>
    </w:pPr>
    <w:rPr>
      <w:rFonts w:ascii="华文细黑" w:hAnsi="Times New Roman" w:eastAsia="华文细黑" w:cs="华文细黑"/>
      <w:color w:val="000000"/>
      <w:sz w:val="24"/>
      <w:szCs w:val="24"/>
      <w:lang w:val="en-US" w:eastAsia="zh-CN" w:bidi="ar-SA"/>
    </w:rPr>
  </w:style>
  <w:style w:type="character" w:customStyle="1" w:styleId="59">
    <w:name w:val="标题 1 字符"/>
    <w:basedOn w:val="47"/>
    <w:link w:val="3"/>
    <w:autoRedefine/>
    <w:qFormat/>
    <w:uiPriority w:val="9"/>
    <w:rPr>
      <w:b/>
      <w:kern w:val="2"/>
      <w:sz w:val="28"/>
    </w:rPr>
  </w:style>
  <w:style w:type="character" w:customStyle="1" w:styleId="60">
    <w:name w:val="标题 2 字符"/>
    <w:basedOn w:val="47"/>
    <w:link w:val="4"/>
    <w:autoRedefine/>
    <w:qFormat/>
    <w:uiPriority w:val="0"/>
    <w:rPr>
      <w:rFonts w:ascii="Arial" w:hAnsi="Arial" w:eastAsia="黑体"/>
      <w:b/>
      <w:bCs/>
      <w:kern w:val="2"/>
      <w:sz w:val="32"/>
      <w:szCs w:val="32"/>
    </w:rPr>
  </w:style>
  <w:style w:type="character" w:customStyle="1" w:styleId="61">
    <w:name w:val="标题 3 字符"/>
    <w:basedOn w:val="47"/>
    <w:link w:val="5"/>
    <w:autoRedefine/>
    <w:qFormat/>
    <w:uiPriority w:val="9"/>
    <w:rPr>
      <w:b/>
      <w:bCs/>
      <w:kern w:val="2"/>
      <w:sz w:val="32"/>
      <w:szCs w:val="32"/>
    </w:rPr>
  </w:style>
  <w:style w:type="character" w:customStyle="1" w:styleId="62">
    <w:name w:val="标题 4 字符"/>
    <w:basedOn w:val="47"/>
    <w:link w:val="6"/>
    <w:autoRedefine/>
    <w:qFormat/>
    <w:uiPriority w:val="0"/>
    <w:rPr>
      <w:rFonts w:ascii="宋体" w:hAnsi="宋体"/>
      <w:b/>
      <w:bCs/>
      <w:sz w:val="24"/>
      <w:szCs w:val="24"/>
    </w:rPr>
  </w:style>
  <w:style w:type="character" w:customStyle="1" w:styleId="63">
    <w:name w:val="标题 5 字符"/>
    <w:basedOn w:val="47"/>
    <w:link w:val="7"/>
    <w:autoRedefine/>
    <w:qFormat/>
    <w:uiPriority w:val="0"/>
    <w:rPr>
      <w:rFonts w:ascii="Arial Unicode MS" w:hAnsi="Arial Unicode MS" w:eastAsia="Arial Unicode MS"/>
      <w:b/>
      <w:bCs/>
    </w:rPr>
  </w:style>
  <w:style w:type="character" w:customStyle="1" w:styleId="64">
    <w:name w:val="标题 6 字符"/>
    <w:basedOn w:val="47"/>
    <w:link w:val="8"/>
    <w:autoRedefine/>
    <w:qFormat/>
    <w:uiPriority w:val="0"/>
    <w:rPr>
      <w:rFonts w:ascii="宋体" w:hAnsi="宋体"/>
      <w:b/>
      <w:bCs/>
      <w:sz w:val="15"/>
      <w:szCs w:val="15"/>
    </w:rPr>
  </w:style>
  <w:style w:type="character" w:customStyle="1" w:styleId="65">
    <w:name w:val="标题 7 字符"/>
    <w:basedOn w:val="47"/>
    <w:link w:val="9"/>
    <w:autoRedefine/>
    <w:qFormat/>
    <w:uiPriority w:val="9"/>
    <w:rPr>
      <w:rFonts w:ascii="仿宋_GB2312" w:hAnsi="宋体" w:eastAsia="仿宋_GB2312" w:cs="宋体"/>
      <w:b/>
      <w:bCs/>
      <w:kern w:val="2"/>
      <w:sz w:val="24"/>
      <w:szCs w:val="24"/>
    </w:rPr>
  </w:style>
  <w:style w:type="character" w:customStyle="1" w:styleId="66">
    <w:name w:val="标题 9 字符"/>
    <w:basedOn w:val="47"/>
    <w:link w:val="10"/>
    <w:autoRedefine/>
    <w:qFormat/>
    <w:uiPriority w:val="0"/>
    <w:rPr>
      <w:rFonts w:ascii="黑体" w:hAnsi="Arial" w:eastAsia="黑体"/>
      <w:sz w:val="28"/>
    </w:rPr>
  </w:style>
  <w:style w:type="character" w:customStyle="1" w:styleId="67">
    <w:name w:val="正文缩进 字符"/>
    <w:link w:val="2"/>
    <w:autoRedefine/>
    <w:qFormat/>
    <w:uiPriority w:val="0"/>
    <w:rPr>
      <w:kern w:val="2"/>
      <w:sz w:val="28"/>
    </w:rPr>
  </w:style>
  <w:style w:type="character" w:customStyle="1" w:styleId="68">
    <w:name w:val="文档结构图 字符"/>
    <w:basedOn w:val="47"/>
    <w:link w:val="13"/>
    <w:autoRedefine/>
    <w:qFormat/>
    <w:uiPriority w:val="0"/>
    <w:rPr>
      <w:kern w:val="2"/>
      <w:sz w:val="21"/>
      <w:shd w:val="clear" w:color="auto" w:fill="000080"/>
    </w:rPr>
  </w:style>
  <w:style w:type="character" w:customStyle="1" w:styleId="69">
    <w:name w:val="批注文字 字符"/>
    <w:basedOn w:val="47"/>
    <w:link w:val="14"/>
    <w:autoRedefine/>
    <w:qFormat/>
    <w:uiPriority w:val="0"/>
    <w:rPr>
      <w:kern w:val="2"/>
      <w:sz w:val="21"/>
    </w:rPr>
  </w:style>
  <w:style w:type="character" w:customStyle="1" w:styleId="70">
    <w:name w:val="称呼 字符"/>
    <w:basedOn w:val="47"/>
    <w:link w:val="15"/>
    <w:autoRedefine/>
    <w:qFormat/>
    <w:uiPriority w:val="0"/>
    <w:rPr>
      <w:rFonts w:ascii="宋体" w:hAnsi="Bookman Old Style"/>
      <w:kern w:val="2"/>
      <w:sz w:val="21"/>
    </w:rPr>
  </w:style>
  <w:style w:type="character" w:customStyle="1" w:styleId="71">
    <w:name w:val="结束语 字符"/>
    <w:basedOn w:val="47"/>
    <w:link w:val="16"/>
    <w:autoRedefine/>
    <w:qFormat/>
    <w:uiPriority w:val="0"/>
    <w:rPr>
      <w:rFonts w:ascii="宋体" w:hAnsi="Bookman Old Style"/>
      <w:kern w:val="2"/>
      <w:sz w:val="21"/>
    </w:rPr>
  </w:style>
  <w:style w:type="character" w:customStyle="1" w:styleId="72">
    <w:name w:val="正文文本 字符"/>
    <w:basedOn w:val="47"/>
    <w:link w:val="17"/>
    <w:autoRedefine/>
    <w:qFormat/>
    <w:uiPriority w:val="0"/>
    <w:rPr>
      <w:rFonts w:ascii="宋体"/>
      <w:spacing w:val="10"/>
      <w:kern w:val="2"/>
      <w:sz w:val="24"/>
    </w:rPr>
  </w:style>
  <w:style w:type="character" w:customStyle="1" w:styleId="73">
    <w:name w:val="正文文本缩进 字符"/>
    <w:basedOn w:val="47"/>
    <w:link w:val="18"/>
    <w:autoRedefine/>
    <w:qFormat/>
    <w:uiPriority w:val="0"/>
    <w:rPr>
      <w:kern w:val="2"/>
      <w:sz w:val="28"/>
    </w:rPr>
  </w:style>
  <w:style w:type="character" w:customStyle="1" w:styleId="74">
    <w:name w:val="纯文本 字符"/>
    <w:basedOn w:val="47"/>
    <w:link w:val="23"/>
    <w:autoRedefine/>
    <w:qFormat/>
    <w:uiPriority w:val="0"/>
    <w:rPr>
      <w:rFonts w:ascii="宋体" w:hAnsi="Courier New" w:eastAsia="宋体"/>
      <w:kern w:val="2"/>
      <w:sz w:val="21"/>
      <w:lang w:val="en-US" w:eastAsia="zh-CN" w:bidi="ar-SA"/>
    </w:rPr>
  </w:style>
  <w:style w:type="character" w:customStyle="1" w:styleId="75">
    <w:name w:val="日期 字符"/>
    <w:basedOn w:val="47"/>
    <w:link w:val="25"/>
    <w:autoRedefine/>
    <w:qFormat/>
    <w:uiPriority w:val="0"/>
    <w:rPr>
      <w:kern w:val="2"/>
      <w:sz w:val="21"/>
    </w:rPr>
  </w:style>
  <w:style w:type="character" w:customStyle="1" w:styleId="76">
    <w:name w:val="正文文本缩进 2 字符"/>
    <w:basedOn w:val="47"/>
    <w:link w:val="26"/>
    <w:autoRedefine/>
    <w:qFormat/>
    <w:uiPriority w:val="0"/>
    <w:rPr>
      <w:rFonts w:ascii="宋体" w:hAnsi="Bookman Old Style"/>
      <w:kern w:val="2"/>
      <w:sz w:val="21"/>
    </w:rPr>
  </w:style>
  <w:style w:type="character" w:customStyle="1" w:styleId="77">
    <w:name w:val="批注框文本 字符"/>
    <w:basedOn w:val="47"/>
    <w:link w:val="27"/>
    <w:autoRedefine/>
    <w:qFormat/>
    <w:uiPriority w:val="99"/>
    <w:rPr>
      <w:kern w:val="2"/>
      <w:sz w:val="18"/>
      <w:szCs w:val="18"/>
    </w:rPr>
  </w:style>
  <w:style w:type="character" w:customStyle="1" w:styleId="78">
    <w:name w:val="页脚 字符"/>
    <w:basedOn w:val="47"/>
    <w:link w:val="28"/>
    <w:autoRedefine/>
    <w:qFormat/>
    <w:uiPriority w:val="99"/>
    <w:rPr>
      <w:kern w:val="2"/>
      <w:sz w:val="18"/>
    </w:rPr>
  </w:style>
  <w:style w:type="character" w:customStyle="1" w:styleId="79">
    <w:name w:val="页眉 字符"/>
    <w:basedOn w:val="47"/>
    <w:link w:val="29"/>
    <w:autoRedefine/>
    <w:qFormat/>
    <w:uiPriority w:val="99"/>
    <w:rPr>
      <w:kern w:val="2"/>
      <w:sz w:val="18"/>
    </w:rPr>
  </w:style>
  <w:style w:type="character" w:customStyle="1" w:styleId="80">
    <w:name w:val="脚注文本 字符"/>
    <w:basedOn w:val="47"/>
    <w:link w:val="33"/>
    <w:autoRedefine/>
    <w:qFormat/>
    <w:uiPriority w:val="0"/>
    <w:rPr>
      <w:sz w:val="18"/>
    </w:rPr>
  </w:style>
  <w:style w:type="character" w:customStyle="1" w:styleId="81">
    <w:name w:val="正文文本缩进 3 字符"/>
    <w:basedOn w:val="47"/>
    <w:link w:val="35"/>
    <w:autoRedefine/>
    <w:qFormat/>
    <w:uiPriority w:val="0"/>
    <w:rPr>
      <w:sz w:val="24"/>
    </w:rPr>
  </w:style>
  <w:style w:type="character" w:customStyle="1" w:styleId="82">
    <w:name w:val="正文文本 2 字符"/>
    <w:basedOn w:val="47"/>
    <w:link w:val="39"/>
    <w:autoRedefine/>
    <w:qFormat/>
    <w:uiPriority w:val="0"/>
    <w:rPr>
      <w:rFonts w:eastAsia="仿宋_GB2312"/>
      <w:spacing w:val="-8"/>
      <w:kern w:val="2"/>
      <w:sz w:val="21"/>
    </w:rPr>
  </w:style>
  <w:style w:type="character" w:customStyle="1" w:styleId="83">
    <w:name w:val="HTML 预设格式 字符"/>
    <w:basedOn w:val="47"/>
    <w:link w:val="40"/>
    <w:autoRedefine/>
    <w:qFormat/>
    <w:uiPriority w:val="0"/>
    <w:rPr>
      <w:rFonts w:ascii="宋体" w:hAnsi="宋体" w:cs="宋体"/>
      <w:sz w:val="24"/>
      <w:szCs w:val="24"/>
    </w:rPr>
  </w:style>
  <w:style w:type="character" w:customStyle="1" w:styleId="84">
    <w:name w:val="标题 字符"/>
    <w:basedOn w:val="47"/>
    <w:link w:val="43"/>
    <w:autoRedefine/>
    <w:qFormat/>
    <w:uiPriority w:val="10"/>
    <w:rPr>
      <w:rFonts w:ascii="黑体" w:hAnsi="宋体" w:eastAsia="黑体"/>
      <w:b/>
      <w:bCs/>
      <w:sz w:val="84"/>
      <w:szCs w:val="84"/>
    </w:rPr>
  </w:style>
  <w:style w:type="character" w:customStyle="1" w:styleId="85">
    <w:name w:val="批注主题 字符"/>
    <w:basedOn w:val="69"/>
    <w:link w:val="44"/>
    <w:autoRedefine/>
    <w:qFormat/>
    <w:uiPriority w:val="0"/>
    <w:rPr>
      <w:b/>
      <w:bCs/>
      <w:kern w:val="2"/>
      <w:sz w:val="21"/>
    </w:rPr>
  </w:style>
  <w:style w:type="character" w:customStyle="1" w:styleId="86">
    <w:name w:val="v_面积"/>
    <w:basedOn w:val="47"/>
    <w:autoRedefine/>
    <w:qFormat/>
    <w:uiPriority w:val="0"/>
    <w:rPr>
      <w:spacing w:val="0"/>
      <w:sz w:val="21"/>
    </w:rPr>
  </w:style>
  <w:style w:type="character" w:customStyle="1" w:styleId="87">
    <w:name w:val="yq"/>
    <w:basedOn w:val="47"/>
    <w:autoRedefine/>
    <w:qFormat/>
    <w:uiPriority w:val="0"/>
  </w:style>
  <w:style w:type="character" w:customStyle="1" w:styleId="88">
    <w:name w:val="r_价值类型"/>
    <w:basedOn w:val="47"/>
    <w:autoRedefine/>
    <w:qFormat/>
    <w:uiPriority w:val="0"/>
    <w:rPr>
      <w:spacing w:val="0"/>
      <w:sz w:val="21"/>
    </w:rPr>
  </w:style>
  <w:style w:type="character" w:customStyle="1" w:styleId="89">
    <w:name w:val="font41"/>
    <w:basedOn w:val="47"/>
    <w:autoRedefine/>
    <w:qFormat/>
    <w:uiPriority w:val="0"/>
    <w:rPr>
      <w:rFonts w:hint="eastAsia" w:ascii="宋体" w:hAnsi="宋体" w:eastAsia="宋体" w:cs="宋体"/>
      <w:color w:val="000000"/>
      <w:sz w:val="20"/>
      <w:szCs w:val="20"/>
      <w:u w:val="none"/>
    </w:rPr>
  </w:style>
  <w:style w:type="character" w:customStyle="1" w:styleId="90">
    <w:name w:val="s_房产证号"/>
    <w:basedOn w:val="47"/>
    <w:autoRedefine/>
    <w:qFormat/>
    <w:uiPriority w:val="0"/>
    <w:rPr>
      <w:spacing w:val="0"/>
      <w:sz w:val="21"/>
    </w:rPr>
  </w:style>
  <w:style w:type="character" w:customStyle="1" w:styleId="91">
    <w:name w:val="s_内墙"/>
    <w:basedOn w:val="47"/>
    <w:autoRedefine/>
    <w:qFormat/>
    <w:uiPriority w:val="0"/>
    <w:rPr>
      <w:spacing w:val="0"/>
      <w:sz w:val="21"/>
    </w:rPr>
  </w:style>
  <w:style w:type="character" w:customStyle="1" w:styleId="92">
    <w:name w:val="font71"/>
    <w:basedOn w:val="47"/>
    <w:autoRedefine/>
    <w:qFormat/>
    <w:uiPriority w:val="0"/>
    <w:rPr>
      <w:rFonts w:hint="eastAsia" w:ascii="宋体" w:hAnsi="宋体" w:eastAsia="宋体" w:cs="宋体"/>
      <w:color w:val="000000"/>
      <w:sz w:val="20"/>
      <w:szCs w:val="20"/>
      <w:u w:val="none"/>
    </w:rPr>
  </w:style>
  <w:style w:type="character" w:customStyle="1" w:styleId="93">
    <w:name w:val="casecount"/>
    <w:basedOn w:val="47"/>
    <w:autoRedefine/>
    <w:qFormat/>
    <w:uiPriority w:val="0"/>
    <w:rPr>
      <w:spacing w:val="0"/>
      <w:sz w:val="21"/>
    </w:rPr>
  </w:style>
  <w:style w:type="character" w:customStyle="1" w:styleId="94">
    <w:name w:val="client1"/>
    <w:basedOn w:val="47"/>
    <w:autoRedefine/>
    <w:qFormat/>
    <w:uiPriority w:val="0"/>
    <w:rPr>
      <w:spacing w:val="0"/>
      <w:sz w:val="21"/>
    </w:rPr>
  </w:style>
  <w:style w:type="character" w:customStyle="1" w:styleId="95">
    <w:name w:val="v_单价"/>
    <w:basedOn w:val="47"/>
    <w:autoRedefine/>
    <w:qFormat/>
    <w:uiPriority w:val="0"/>
    <w:rPr>
      <w:spacing w:val="0"/>
      <w:sz w:val="21"/>
    </w:rPr>
  </w:style>
  <w:style w:type="character" w:customStyle="1" w:styleId="96">
    <w:name w:val="font51"/>
    <w:basedOn w:val="47"/>
    <w:autoRedefine/>
    <w:qFormat/>
    <w:uiPriority w:val="0"/>
    <w:rPr>
      <w:rFonts w:hint="eastAsia" w:ascii="宋体" w:hAnsi="宋体" w:eastAsia="宋体" w:cs="宋体"/>
      <w:color w:val="000000"/>
      <w:sz w:val="20"/>
      <w:szCs w:val="20"/>
      <w:u w:val="none"/>
      <w:vertAlign w:val="superscript"/>
    </w:rPr>
  </w:style>
  <w:style w:type="character" w:customStyle="1" w:styleId="97">
    <w:name w:val="option1"/>
    <w:basedOn w:val="47"/>
    <w:autoRedefine/>
    <w:qFormat/>
    <w:uiPriority w:val="0"/>
    <w:rPr>
      <w:spacing w:val="0"/>
      <w:sz w:val="21"/>
    </w:rPr>
  </w:style>
  <w:style w:type="character" w:customStyle="1" w:styleId="98">
    <w:name w:val="current"/>
    <w:autoRedefine/>
    <w:qFormat/>
    <w:uiPriority w:val="0"/>
    <w:rPr>
      <w:b/>
      <w:color w:val="FFFFFF"/>
      <w:spacing w:val="0"/>
      <w:sz w:val="21"/>
      <w:bdr w:val="single" w:color="D21300" w:sz="6" w:space="0"/>
      <w:shd w:val="clear" w:color="auto" w:fill="D21300"/>
    </w:rPr>
  </w:style>
  <w:style w:type="character" w:customStyle="1" w:styleId="99">
    <w:name w:val="s_用地面积"/>
    <w:basedOn w:val="47"/>
    <w:autoRedefine/>
    <w:qFormat/>
    <w:uiPriority w:val="0"/>
    <w:rPr>
      <w:spacing w:val="0"/>
      <w:sz w:val="21"/>
    </w:rPr>
  </w:style>
  <w:style w:type="character" w:customStyle="1" w:styleId="100">
    <w:name w:val="r_估价期日"/>
    <w:basedOn w:val="47"/>
    <w:autoRedefine/>
    <w:qFormat/>
    <w:uiPriority w:val="0"/>
    <w:rPr>
      <w:spacing w:val="0"/>
      <w:sz w:val="21"/>
    </w:rPr>
  </w:style>
  <w:style w:type="character" w:customStyle="1" w:styleId="101">
    <w:name w:val="s_土地使用者"/>
    <w:basedOn w:val="47"/>
    <w:autoRedefine/>
    <w:qFormat/>
    <w:uiPriority w:val="0"/>
    <w:rPr>
      <w:spacing w:val="0"/>
      <w:sz w:val="21"/>
    </w:rPr>
  </w:style>
  <w:style w:type="character" w:customStyle="1" w:styleId="102">
    <w:name w:val="font21"/>
    <w:basedOn w:val="47"/>
    <w:autoRedefine/>
    <w:qFormat/>
    <w:uiPriority w:val="0"/>
    <w:rPr>
      <w:rFonts w:hint="default" w:ascii="楷体_GB2312" w:eastAsia="楷体_GB2312" w:cs="楷体_GB2312"/>
      <w:color w:val="000000"/>
      <w:sz w:val="20"/>
      <w:szCs w:val="20"/>
      <w:u w:val="none"/>
    </w:rPr>
  </w:style>
  <w:style w:type="character" w:customStyle="1" w:styleId="103">
    <w:name w:val="s_房地产变现后应先交纳"/>
    <w:basedOn w:val="47"/>
    <w:autoRedefine/>
    <w:qFormat/>
    <w:uiPriority w:val="0"/>
    <w:rPr>
      <w:spacing w:val="0"/>
      <w:sz w:val="21"/>
    </w:rPr>
  </w:style>
  <w:style w:type="character" w:customStyle="1" w:styleId="104">
    <w:name w:val="Char Char1"/>
    <w:autoRedefine/>
    <w:qFormat/>
    <w:uiPriority w:val="0"/>
    <w:rPr>
      <w:rFonts w:ascii="宋体" w:eastAsia="宋体"/>
      <w:sz w:val="21"/>
      <w:lang w:val="en-US" w:eastAsia="zh-CN" w:bidi="ar-SA"/>
    </w:rPr>
  </w:style>
  <w:style w:type="character" w:customStyle="1" w:styleId="105">
    <w:name w:val="s_建筑面积"/>
    <w:basedOn w:val="47"/>
    <w:autoRedefine/>
    <w:qFormat/>
    <w:uiPriority w:val="0"/>
    <w:rPr>
      <w:spacing w:val="0"/>
      <w:sz w:val="21"/>
    </w:rPr>
  </w:style>
  <w:style w:type="character" w:customStyle="1" w:styleId="106">
    <w:name w:val="ninetext1"/>
    <w:autoRedefine/>
    <w:qFormat/>
    <w:uiPriority w:val="0"/>
    <w:rPr>
      <w:sz w:val="18"/>
      <w:szCs w:val="18"/>
    </w:rPr>
  </w:style>
  <w:style w:type="character" w:customStyle="1" w:styleId="107">
    <w:name w:val="name21"/>
    <w:basedOn w:val="47"/>
    <w:autoRedefine/>
    <w:qFormat/>
    <w:uiPriority w:val="0"/>
    <w:rPr>
      <w:spacing w:val="0"/>
      <w:sz w:val="21"/>
    </w:rPr>
  </w:style>
  <w:style w:type="character" w:customStyle="1" w:styleId="108">
    <w:name w:val="正文（首行缩进两字） Char"/>
    <w:autoRedefine/>
    <w:qFormat/>
    <w:uiPriority w:val="0"/>
    <w:rPr>
      <w:rFonts w:eastAsia="宋体"/>
      <w:kern w:val="2"/>
      <w:sz w:val="28"/>
      <w:lang w:val="en-US" w:eastAsia="zh-CN" w:bidi="ar-SA"/>
    </w:rPr>
  </w:style>
  <w:style w:type="character" w:customStyle="1" w:styleId="109">
    <w:name w:val="corp1name"/>
    <w:basedOn w:val="47"/>
    <w:autoRedefine/>
    <w:qFormat/>
    <w:uiPriority w:val="0"/>
    <w:rPr>
      <w:spacing w:val="0"/>
      <w:sz w:val="21"/>
    </w:rPr>
  </w:style>
  <w:style w:type="character" w:customStyle="1" w:styleId="110">
    <w:name w:val="detpname"/>
    <w:autoRedefine/>
    <w:qFormat/>
    <w:uiPriority w:val="0"/>
    <w:rPr>
      <w:color w:val="A00101"/>
      <w:spacing w:val="0"/>
      <w:sz w:val="21"/>
    </w:rPr>
  </w:style>
  <w:style w:type="character" w:customStyle="1" w:styleId="111">
    <w:name w:val="s_地址"/>
    <w:basedOn w:val="47"/>
    <w:autoRedefine/>
    <w:qFormat/>
    <w:uiPriority w:val="0"/>
    <w:rPr>
      <w:spacing w:val="0"/>
      <w:sz w:val="21"/>
    </w:rPr>
  </w:style>
  <w:style w:type="character" w:customStyle="1" w:styleId="112">
    <w:name w:val="time"/>
    <w:autoRedefine/>
    <w:qFormat/>
    <w:uiPriority w:val="0"/>
    <w:rPr>
      <w:spacing w:val="0"/>
      <w:sz w:val="18"/>
      <w:szCs w:val="18"/>
    </w:rPr>
  </w:style>
  <w:style w:type="character" w:customStyle="1" w:styleId="113">
    <w:name w:val="s_配套设施"/>
    <w:basedOn w:val="47"/>
    <w:autoRedefine/>
    <w:qFormat/>
    <w:uiPriority w:val="0"/>
    <w:rPr>
      <w:spacing w:val="0"/>
      <w:sz w:val="21"/>
    </w:rPr>
  </w:style>
  <w:style w:type="character" w:customStyle="1" w:styleId="114">
    <w:name w:val="v_面积汇总的市场比较法总价"/>
    <w:basedOn w:val="47"/>
    <w:autoRedefine/>
    <w:qFormat/>
    <w:uiPriority w:val="0"/>
    <w:rPr>
      <w:spacing w:val="0"/>
      <w:sz w:val="21"/>
    </w:rPr>
  </w:style>
  <w:style w:type="character" w:customStyle="1" w:styleId="115">
    <w:name w:val="s_外墙"/>
    <w:basedOn w:val="47"/>
    <w:autoRedefine/>
    <w:qFormat/>
    <w:uiPriority w:val="0"/>
    <w:rPr>
      <w:spacing w:val="0"/>
      <w:sz w:val="21"/>
    </w:rPr>
  </w:style>
  <w:style w:type="character" w:customStyle="1" w:styleId="116">
    <w:name w:val="s_估价类型"/>
    <w:basedOn w:val="47"/>
    <w:autoRedefine/>
    <w:qFormat/>
    <w:uiPriority w:val="0"/>
    <w:rPr>
      <w:spacing w:val="0"/>
      <w:sz w:val="21"/>
    </w:rPr>
  </w:style>
  <w:style w:type="character" w:customStyle="1" w:styleId="117">
    <w:name w:val="HTML 预设格式 Char1"/>
    <w:basedOn w:val="47"/>
    <w:autoRedefine/>
    <w:qFormat/>
    <w:uiPriority w:val="0"/>
    <w:rPr>
      <w:rFonts w:ascii="Courier New" w:hAnsi="Courier New" w:cs="Courier New"/>
      <w:kern w:val="2"/>
    </w:rPr>
  </w:style>
  <w:style w:type="character" w:customStyle="1" w:styleId="118">
    <w:name w:val="bsharetext"/>
    <w:basedOn w:val="47"/>
    <w:autoRedefine/>
    <w:qFormat/>
    <w:uiPriority w:val="0"/>
    <w:rPr>
      <w:spacing w:val="0"/>
      <w:sz w:val="21"/>
    </w:rPr>
  </w:style>
  <w:style w:type="character" w:customStyle="1" w:styleId="119">
    <w:name w:val="s_土地性质"/>
    <w:basedOn w:val="47"/>
    <w:autoRedefine/>
    <w:qFormat/>
    <w:uiPriority w:val="0"/>
    <w:rPr>
      <w:spacing w:val="0"/>
      <w:sz w:val="21"/>
    </w:rPr>
  </w:style>
  <w:style w:type="character" w:customStyle="1" w:styleId="120">
    <w:name w:val="s_土地用途"/>
    <w:basedOn w:val="47"/>
    <w:autoRedefine/>
    <w:qFormat/>
    <w:uiPriority w:val="0"/>
    <w:rPr>
      <w:spacing w:val="0"/>
      <w:sz w:val="21"/>
    </w:rPr>
  </w:style>
  <w:style w:type="character" w:customStyle="1" w:styleId="121">
    <w:name w:val="s_他项权利情况"/>
    <w:basedOn w:val="47"/>
    <w:autoRedefine/>
    <w:qFormat/>
    <w:uiPriority w:val="0"/>
    <w:rPr>
      <w:spacing w:val="0"/>
      <w:sz w:val="21"/>
    </w:rPr>
  </w:style>
  <w:style w:type="character" w:customStyle="1" w:styleId="122">
    <w:name w:val="name2"/>
    <w:basedOn w:val="47"/>
    <w:autoRedefine/>
    <w:qFormat/>
    <w:uiPriority w:val="0"/>
    <w:rPr>
      <w:spacing w:val="0"/>
      <w:sz w:val="21"/>
    </w:rPr>
  </w:style>
  <w:style w:type="character" w:customStyle="1" w:styleId="123">
    <w:name w:val="casenames"/>
    <w:basedOn w:val="47"/>
    <w:autoRedefine/>
    <w:qFormat/>
    <w:uiPriority w:val="0"/>
    <w:rPr>
      <w:spacing w:val="0"/>
      <w:sz w:val="21"/>
    </w:rPr>
  </w:style>
  <w:style w:type="character" w:customStyle="1" w:styleId="124">
    <w:name w:val="type"/>
    <w:basedOn w:val="47"/>
    <w:autoRedefine/>
    <w:qFormat/>
    <w:uiPriority w:val="0"/>
    <w:rPr>
      <w:spacing w:val="0"/>
      <w:sz w:val="21"/>
    </w:rPr>
  </w:style>
  <w:style w:type="character" w:customStyle="1" w:styleId="125">
    <w:name w:val="grame"/>
    <w:basedOn w:val="47"/>
    <w:autoRedefine/>
    <w:qFormat/>
    <w:uiPriority w:val="0"/>
    <w:rPr>
      <w:spacing w:val="0"/>
      <w:sz w:val="21"/>
    </w:rPr>
  </w:style>
  <w:style w:type="character" w:customStyle="1" w:styleId="126">
    <w:name w:val="s_土地证号"/>
    <w:basedOn w:val="47"/>
    <w:autoRedefine/>
    <w:qFormat/>
    <w:uiPriority w:val="0"/>
    <w:rPr>
      <w:spacing w:val="0"/>
      <w:sz w:val="21"/>
    </w:rPr>
  </w:style>
  <w:style w:type="character" w:customStyle="1" w:styleId="127">
    <w:name w:val="s_单价(小写)"/>
    <w:basedOn w:val="47"/>
    <w:autoRedefine/>
    <w:qFormat/>
    <w:uiPriority w:val="0"/>
    <w:rPr>
      <w:spacing w:val="0"/>
      <w:sz w:val="21"/>
    </w:rPr>
  </w:style>
  <w:style w:type="character" w:customStyle="1" w:styleId="128">
    <w:name w:val="option"/>
    <w:basedOn w:val="47"/>
    <w:autoRedefine/>
    <w:qFormat/>
    <w:uiPriority w:val="0"/>
    <w:rPr>
      <w:spacing w:val="0"/>
      <w:sz w:val="21"/>
    </w:rPr>
  </w:style>
  <w:style w:type="character" w:customStyle="1" w:styleId="129">
    <w:name w:val="font31"/>
    <w:basedOn w:val="47"/>
    <w:autoRedefine/>
    <w:qFormat/>
    <w:uiPriority w:val="0"/>
    <w:rPr>
      <w:rFonts w:hint="eastAsia" w:ascii="宋体" w:hAnsi="宋体" w:eastAsia="宋体" w:cs="宋体"/>
      <w:color w:val="000000"/>
      <w:sz w:val="20"/>
      <w:szCs w:val="20"/>
      <w:u w:val="none"/>
    </w:rPr>
  </w:style>
  <w:style w:type="character" w:customStyle="1" w:styleId="130">
    <w:name w:val="r_估价师"/>
    <w:basedOn w:val="47"/>
    <w:autoRedefine/>
    <w:qFormat/>
    <w:uiPriority w:val="0"/>
    <w:rPr>
      <w:spacing w:val="0"/>
      <w:sz w:val="21"/>
    </w:rPr>
  </w:style>
  <w:style w:type="character" w:customStyle="1" w:styleId="131">
    <w:name w:val="type1"/>
    <w:basedOn w:val="47"/>
    <w:autoRedefine/>
    <w:qFormat/>
    <w:uiPriority w:val="0"/>
    <w:rPr>
      <w:spacing w:val="0"/>
      <w:sz w:val="21"/>
    </w:rPr>
  </w:style>
  <w:style w:type="character" w:customStyle="1" w:styleId="132">
    <w:name w:val="s_门"/>
    <w:basedOn w:val="47"/>
    <w:autoRedefine/>
    <w:qFormat/>
    <w:uiPriority w:val="0"/>
    <w:rPr>
      <w:spacing w:val="0"/>
      <w:sz w:val="21"/>
    </w:rPr>
  </w:style>
  <w:style w:type="character" w:customStyle="1" w:styleId="133">
    <w:name w:val="disabled"/>
    <w:autoRedefine/>
    <w:qFormat/>
    <w:uiPriority w:val="0"/>
    <w:rPr>
      <w:color w:val="CCCCCC"/>
      <w:spacing w:val="0"/>
      <w:sz w:val="21"/>
      <w:bdr w:val="single" w:color="CCCCCC" w:sz="6" w:space="0"/>
    </w:rPr>
  </w:style>
  <w:style w:type="character" w:customStyle="1" w:styleId="134">
    <w:name w:val="font81"/>
    <w:basedOn w:val="47"/>
    <w:autoRedefine/>
    <w:qFormat/>
    <w:uiPriority w:val="0"/>
    <w:rPr>
      <w:rFonts w:hint="eastAsia" w:ascii="宋体" w:hAnsi="宋体" w:eastAsia="宋体" w:cs="宋体"/>
      <w:color w:val="000000"/>
      <w:sz w:val="20"/>
      <w:szCs w:val="20"/>
      <w:u w:val="none"/>
      <w:vertAlign w:val="superscript"/>
    </w:rPr>
  </w:style>
  <w:style w:type="character" w:customStyle="1" w:styleId="135">
    <w:name w:val="r_报告编号"/>
    <w:basedOn w:val="47"/>
    <w:autoRedefine/>
    <w:qFormat/>
    <w:uiPriority w:val="0"/>
    <w:rPr>
      <w:spacing w:val="0"/>
      <w:sz w:val="21"/>
    </w:rPr>
  </w:style>
  <w:style w:type="character" w:customStyle="1" w:styleId="136">
    <w:name w:val="s_建成年份"/>
    <w:basedOn w:val="47"/>
    <w:autoRedefine/>
    <w:qFormat/>
    <w:uiPriority w:val="0"/>
    <w:rPr>
      <w:spacing w:val="0"/>
      <w:sz w:val="21"/>
    </w:rPr>
  </w:style>
  <w:style w:type="character" w:customStyle="1" w:styleId="137">
    <w:name w:val="r_总价(大写)"/>
    <w:basedOn w:val="47"/>
    <w:autoRedefine/>
    <w:qFormat/>
    <w:uiPriority w:val="0"/>
    <w:rPr>
      <w:spacing w:val="0"/>
      <w:sz w:val="21"/>
    </w:rPr>
  </w:style>
  <w:style w:type="character" w:customStyle="1" w:styleId="138">
    <w:name w:val="basefactorname"/>
    <w:basedOn w:val="47"/>
    <w:autoRedefine/>
    <w:qFormat/>
    <w:uiPriority w:val="0"/>
    <w:rPr>
      <w:spacing w:val="0"/>
      <w:sz w:val="21"/>
    </w:rPr>
  </w:style>
  <w:style w:type="character" w:customStyle="1" w:styleId="139">
    <w:name w:val="font01"/>
    <w:basedOn w:val="47"/>
    <w:autoRedefine/>
    <w:qFormat/>
    <w:uiPriority w:val="0"/>
    <w:rPr>
      <w:rFonts w:hint="eastAsia" w:ascii="楷体_GB2312" w:eastAsia="楷体_GB2312" w:cs="楷体_GB2312"/>
      <w:color w:val="000000"/>
      <w:sz w:val="20"/>
      <w:szCs w:val="20"/>
      <w:u w:val="none"/>
    </w:rPr>
  </w:style>
  <w:style w:type="character" w:customStyle="1" w:styleId="140">
    <w:name w:val="r_短估价目的"/>
    <w:basedOn w:val="47"/>
    <w:autoRedefine/>
    <w:qFormat/>
    <w:uiPriority w:val="0"/>
    <w:rPr>
      <w:spacing w:val="0"/>
      <w:sz w:val="21"/>
    </w:rPr>
  </w:style>
  <w:style w:type="character" w:customStyle="1" w:styleId="141">
    <w:name w:val="apple-converted-space"/>
    <w:basedOn w:val="47"/>
    <w:autoRedefine/>
    <w:qFormat/>
    <w:uiPriority w:val="0"/>
  </w:style>
  <w:style w:type="character" w:customStyle="1" w:styleId="142">
    <w:name w:val="s_结构"/>
    <w:basedOn w:val="47"/>
    <w:autoRedefine/>
    <w:qFormat/>
    <w:uiPriority w:val="0"/>
    <w:rPr>
      <w:spacing w:val="0"/>
      <w:sz w:val="21"/>
    </w:rPr>
  </w:style>
  <w:style w:type="character" w:customStyle="1" w:styleId="143">
    <w:name w:val="r_总价(小写)"/>
    <w:basedOn w:val="47"/>
    <w:autoRedefine/>
    <w:qFormat/>
    <w:uiPriority w:val="0"/>
    <w:rPr>
      <w:spacing w:val="0"/>
      <w:sz w:val="21"/>
    </w:rPr>
  </w:style>
  <w:style w:type="character" w:customStyle="1" w:styleId="144">
    <w:name w:val="纯文本 Char1"/>
    <w:basedOn w:val="47"/>
    <w:autoRedefine/>
    <w:qFormat/>
    <w:locked/>
    <w:uiPriority w:val="0"/>
    <w:rPr>
      <w:rFonts w:ascii="宋体" w:hAnsi="Courier New" w:eastAsia="宋体" w:cs="Times New Roman"/>
      <w:szCs w:val="20"/>
    </w:rPr>
  </w:style>
  <w:style w:type="character" w:customStyle="1" w:styleId="145">
    <w:name w:val="链接"/>
    <w:basedOn w:val="47"/>
    <w:autoRedefine/>
    <w:qFormat/>
    <w:uiPriority w:val="0"/>
    <w:rPr>
      <w:rFonts w:ascii="Times New Roman" w:eastAsia="宋体"/>
      <w:color w:val="0000FF"/>
      <w:spacing w:val="0"/>
      <w:sz w:val="21"/>
      <w:u w:val="single" w:color="0000FF"/>
      <w:vertAlign w:val="baseline"/>
      <w:lang w:val="en-US" w:eastAsia="zh-CN"/>
    </w:rPr>
  </w:style>
  <w:style w:type="character" w:customStyle="1" w:styleId="146">
    <w:name w:val="op-map-singlepoint-info-left"/>
    <w:basedOn w:val="47"/>
    <w:autoRedefine/>
    <w:qFormat/>
    <w:uiPriority w:val="0"/>
  </w:style>
  <w:style w:type="character" w:customStyle="1" w:styleId="147">
    <w:name w:val="r_开始日期(长)"/>
    <w:basedOn w:val="47"/>
    <w:autoRedefine/>
    <w:qFormat/>
    <w:uiPriority w:val="0"/>
    <w:rPr>
      <w:spacing w:val="0"/>
      <w:sz w:val="21"/>
    </w:rPr>
  </w:style>
  <w:style w:type="character" w:customStyle="1" w:styleId="148">
    <w:name w:val="c-gap-right"/>
    <w:basedOn w:val="47"/>
    <w:autoRedefine/>
    <w:qFormat/>
    <w:uiPriority w:val="0"/>
  </w:style>
  <w:style w:type="character" w:customStyle="1" w:styleId="149">
    <w:name w:val="font11"/>
    <w:autoRedefine/>
    <w:qFormat/>
    <w:uiPriority w:val="0"/>
    <w:rPr>
      <w:rFonts w:hint="eastAsia" w:ascii="宋体" w:hAnsi="宋体" w:eastAsia="宋体"/>
      <w:color w:val="000000"/>
      <w:spacing w:val="0"/>
      <w:sz w:val="20"/>
      <w:szCs w:val="20"/>
      <w:u w:val="none"/>
      <w:vertAlign w:val="superscript"/>
    </w:rPr>
  </w:style>
  <w:style w:type="character" w:customStyle="1" w:styleId="150">
    <w:name w:val="r_结束日期(长)"/>
    <w:basedOn w:val="47"/>
    <w:autoRedefine/>
    <w:qFormat/>
    <w:uiPriority w:val="0"/>
    <w:rPr>
      <w:spacing w:val="0"/>
      <w:sz w:val="21"/>
    </w:rPr>
  </w:style>
  <w:style w:type="character" w:customStyle="1" w:styleId="151">
    <w:name w:val="r_有效年期"/>
    <w:basedOn w:val="47"/>
    <w:autoRedefine/>
    <w:qFormat/>
    <w:uiPriority w:val="0"/>
    <w:rPr>
      <w:spacing w:val="0"/>
      <w:sz w:val="21"/>
    </w:rPr>
  </w:style>
  <w:style w:type="character" w:customStyle="1" w:styleId="152">
    <w:name w:val="标题 3 Char Char"/>
    <w:autoRedefine/>
    <w:qFormat/>
    <w:uiPriority w:val="0"/>
    <w:rPr>
      <w:rFonts w:eastAsia="宋体"/>
      <w:b/>
      <w:bCs/>
      <w:kern w:val="2"/>
      <w:sz w:val="32"/>
      <w:szCs w:val="32"/>
      <w:lang w:val="en-US" w:eastAsia="zh-CN" w:bidi="ar-SA"/>
    </w:rPr>
  </w:style>
  <w:style w:type="character" w:customStyle="1" w:styleId="153">
    <w:name w:val="s_楼地面"/>
    <w:basedOn w:val="47"/>
    <w:autoRedefine/>
    <w:qFormat/>
    <w:uiPriority w:val="0"/>
    <w:rPr>
      <w:spacing w:val="0"/>
      <w:sz w:val="21"/>
    </w:rPr>
  </w:style>
  <w:style w:type="character" w:customStyle="1" w:styleId="154">
    <w:name w:val="正文（首行缩进两字） Char3"/>
    <w:autoRedefine/>
    <w:qFormat/>
    <w:uiPriority w:val="0"/>
    <w:rPr>
      <w:rFonts w:eastAsia="宋体"/>
      <w:kern w:val="2"/>
      <w:sz w:val="28"/>
      <w:lang w:val="en-US" w:eastAsia="zh-CN" w:bidi="ar-SA"/>
    </w:rPr>
  </w:style>
  <w:style w:type="character" w:customStyle="1" w:styleId="155">
    <w:name w:val="s_权利人"/>
    <w:basedOn w:val="47"/>
    <w:autoRedefine/>
    <w:qFormat/>
    <w:uiPriority w:val="0"/>
    <w:rPr>
      <w:spacing w:val="0"/>
      <w:sz w:val="21"/>
    </w:rPr>
  </w:style>
  <w:style w:type="character" w:customStyle="1" w:styleId="156">
    <w:name w:val="description"/>
    <w:basedOn w:val="47"/>
    <w:autoRedefine/>
    <w:qFormat/>
    <w:uiPriority w:val="0"/>
  </w:style>
  <w:style w:type="character" w:customStyle="1" w:styleId="157">
    <w:name w:val="yl"/>
    <w:autoRedefine/>
    <w:qFormat/>
    <w:uiPriority w:val="0"/>
    <w:rPr>
      <w:rFonts w:hint="default" w:ascii="微软雅黑" w:hAnsi="微软雅黑" w:eastAsia="微软雅黑" w:cs="微软雅黑"/>
      <w:b/>
      <w:color w:val="444343"/>
      <w:spacing w:val="0"/>
      <w:sz w:val="22"/>
      <w:szCs w:val="22"/>
    </w:rPr>
  </w:style>
  <w:style w:type="character" w:customStyle="1" w:styleId="158">
    <w:name w:val="Char Char3"/>
    <w:basedOn w:val="47"/>
    <w:autoRedefine/>
    <w:qFormat/>
    <w:uiPriority w:val="0"/>
    <w:rPr>
      <w:b/>
      <w:bCs/>
      <w:color w:val="000000"/>
      <w:kern w:val="28"/>
      <w:sz w:val="28"/>
      <w:szCs w:val="44"/>
    </w:rPr>
  </w:style>
  <w:style w:type="character" w:customStyle="1" w:styleId="159">
    <w:name w:val="num"/>
    <w:autoRedefine/>
    <w:qFormat/>
    <w:uiPriority w:val="0"/>
    <w:rPr>
      <w:color w:val="A00101"/>
      <w:spacing w:val="0"/>
      <w:sz w:val="21"/>
    </w:rPr>
  </w:style>
  <w:style w:type="character" w:customStyle="1" w:styleId="160">
    <w:name w:val="time1"/>
    <w:autoRedefine/>
    <w:qFormat/>
    <w:uiPriority w:val="0"/>
    <w:rPr>
      <w:rFonts w:hint="eastAsia" w:ascii="微软雅黑" w:hAnsi="微软雅黑" w:eastAsia="微软雅黑" w:cs="微软雅黑"/>
      <w:color w:val="383838"/>
      <w:spacing w:val="0"/>
      <w:sz w:val="27"/>
      <w:szCs w:val="27"/>
    </w:rPr>
  </w:style>
  <w:style w:type="character" w:customStyle="1" w:styleId="161">
    <w:name w:val="s_窗"/>
    <w:basedOn w:val="47"/>
    <w:autoRedefine/>
    <w:qFormat/>
    <w:uiPriority w:val="0"/>
    <w:rPr>
      <w:spacing w:val="0"/>
      <w:sz w:val="21"/>
    </w:rPr>
  </w:style>
  <w:style w:type="character" w:customStyle="1" w:styleId="162">
    <w:name w:val="blackfont"/>
    <w:basedOn w:val="47"/>
    <w:autoRedefine/>
    <w:qFormat/>
    <w:uiPriority w:val="0"/>
    <w:rPr>
      <w:spacing w:val="0"/>
      <w:sz w:val="21"/>
    </w:rPr>
  </w:style>
  <w:style w:type="character" w:customStyle="1" w:styleId="163">
    <w:name w:val="s_单价(大写)"/>
    <w:basedOn w:val="47"/>
    <w:autoRedefine/>
    <w:qFormat/>
    <w:uiPriority w:val="0"/>
    <w:rPr>
      <w:spacing w:val="0"/>
      <w:sz w:val="21"/>
    </w:rPr>
  </w:style>
  <w:style w:type="character" w:customStyle="1" w:styleId="164">
    <w:name w:val="name"/>
    <w:autoRedefine/>
    <w:qFormat/>
    <w:uiPriority w:val="0"/>
    <w:rPr>
      <w:spacing w:val="0"/>
      <w:sz w:val="18"/>
      <w:szCs w:val="18"/>
    </w:rPr>
  </w:style>
  <w:style w:type="character" w:customStyle="1" w:styleId="165">
    <w:name w:val="appraisers"/>
    <w:basedOn w:val="47"/>
    <w:autoRedefine/>
    <w:qFormat/>
    <w:uiPriority w:val="0"/>
    <w:rPr>
      <w:spacing w:val="0"/>
      <w:sz w:val="21"/>
    </w:rPr>
  </w:style>
  <w:style w:type="character" w:customStyle="1" w:styleId="166">
    <w:name w:val="name1"/>
    <w:basedOn w:val="47"/>
    <w:autoRedefine/>
    <w:qFormat/>
    <w:uiPriority w:val="0"/>
    <w:rPr>
      <w:spacing w:val="0"/>
      <w:sz w:val="21"/>
    </w:rPr>
  </w:style>
  <w:style w:type="character" w:customStyle="1" w:styleId="167">
    <w:name w:val="s_间数层数"/>
    <w:basedOn w:val="47"/>
    <w:autoRedefine/>
    <w:qFormat/>
    <w:uiPriority w:val="0"/>
    <w:rPr>
      <w:spacing w:val="0"/>
      <w:sz w:val="21"/>
    </w:rPr>
  </w:style>
  <w:style w:type="character" w:customStyle="1" w:styleId="168">
    <w:name w:val="apple-style-span"/>
    <w:basedOn w:val="47"/>
    <w:autoRedefine/>
    <w:qFormat/>
    <w:uiPriority w:val="0"/>
  </w:style>
  <w:style w:type="character" w:customStyle="1" w:styleId="169">
    <w:name w:val="s_应缴纳"/>
    <w:basedOn w:val="47"/>
    <w:autoRedefine/>
    <w:qFormat/>
    <w:uiPriority w:val="0"/>
    <w:rPr>
      <w:spacing w:val="0"/>
      <w:sz w:val="21"/>
    </w:rPr>
  </w:style>
  <w:style w:type="paragraph" w:customStyle="1" w:styleId="170">
    <w:name w:val="ilinks"/>
    <w:basedOn w:val="1"/>
    <w:autoRedefine/>
    <w:qFormat/>
    <w:uiPriority w:val="0"/>
    <w:pPr>
      <w:widowControl/>
      <w:spacing w:before="100" w:beforeAutospacing="1" w:after="100" w:afterAutospacing="1"/>
      <w:jc w:val="left"/>
    </w:pPr>
    <w:rPr>
      <w:rFonts w:ascii="宋体" w:hAnsi="宋体" w:cs="宋体"/>
      <w:b/>
      <w:bCs/>
      <w:color w:val="FFFFFF"/>
      <w:kern w:val="0"/>
      <w:sz w:val="18"/>
      <w:szCs w:val="18"/>
    </w:rPr>
  </w:style>
  <w:style w:type="paragraph" w:customStyle="1" w:styleId="171">
    <w:name w:val="zw_title"/>
    <w:basedOn w:val="1"/>
    <w:autoRedefine/>
    <w:qFormat/>
    <w:uiPriority w:val="0"/>
    <w:pPr>
      <w:widowControl/>
      <w:spacing w:before="100" w:beforeAutospacing="1" w:after="100" w:afterAutospacing="1" w:line="360" w:lineRule="auto"/>
      <w:jc w:val="left"/>
    </w:pPr>
    <w:rPr>
      <w:rFonts w:ascii="宋体" w:hAnsi="宋体" w:cs="宋体"/>
      <w:b/>
      <w:bCs/>
      <w:color w:val="333333"/>
      <w:kern w:val="0"/>
      <w:sz w:val="35"/>
      <w:szCs w:val="35"/>
    </w:rPr>
  </w:style>
  <w:style w:type="paragraph" w:customStyle="1" w:styleId="172">
    <w:name w:val="样式2"/>
    <w:basedOn w:val="1"/>
    <w:autoRedefine/>
    <w:qFormat/>
    <w:uiPriority w:val="0"/>
    <w:pPr>
      <w:spacing w:line="360" w:lineRule="auto"/>
      <w:jc w:val="center"/>
    </w:pPr>
    <w:rPr>
      <w:rFonts w:ascii="宋体" w:hAnsi="Arial"/>
      <w:sz w:val="24"/>
    </w:rPr>
  </w:style>
  <w:style w:type="paragraph" w:customStyle="1" w:styleId="173">
    <w:name w:val="zwdt13l21"/>
    <w:basedOn w:val="1"/>
    <w:autoRedefine/>
    <w:qFormat/>
    <w:uiPriority w:val="0"/>
    <w:pPr>
      <w:widowControl/>
      <w:spacing w:before="100" w:beforeAutospacing="1" w:after="100" w:afterAutospacing="1" w:line="315" w:lineRule="atLeast"/>
      <w:jc w:val="left"/>
    </w:pPr>
    <w:rPr>
      <w:rFonts w:ascii="宋体" w:hAnsi="宋体" w:cs="宋体"/>
      <w:color w:val="000000"/>
      <w:kern w:val="0"/>
      <w:sz w:val="20"/>
    </w:rPr>
  </w:style>
  <w:style w:type="paragraph" w:customStyle="1" w:styleId="174">
    <w:name w:val="bord3b"/>
    <w:basedOn w:val="1"/>
    <w:autoRedefine/>
    <w:qFormat/>
    <w:uiPriority w:val="0"/>
    <w:pPr>
      <w:widowControl/>
      <w:pBdr>
        <w:top w:val="single" w:color="D2E8F7" w:sz="6" w:space="0"/>
        <w:left w:val="single" w:color="D2E8F7" w:sz="6" w:space="0"/>
        <w:right w:val="single" w:color="D2E8F7" w:sz="6" w:space="0"/>
      </w:pBdr>
      <w:spacing w:before="100" w:beforeAutospacing="1" w:after="100" w:afterAutospacing="1"/>
      <w:jc w:val="left"/>
    </w:pPr>
    <w:rPr>
      <w:rFonts w:ascii="宋体" w:hAnsi="宋体" w:cs="宋体"/>
      <w:kern w:val="0"/>
      <w:sz w:val="24"/>
      <w:szCs w:val="24"/>
    </w:rPr>
  </w:style>
  <w:style w:type="paragraph" w:customStyle="1" w:styleId="175">
    <w:name w:val="spbb_link1"/>
    <w:basedOn w:val="1"/>
    <w:autoRedefine/>
    <w:qFormat/>
    <w:uiPriority w:val="0"/>
    <w:pPr>
      <w:widowControl/>
      <w:spacing w:before="100" w:beforeAutospacing="1" w:after="100" w:afterAutospacing="1" w:line="240" w:lineRule="atLeast"/>
      <w:jc w:val="left"/>
    </w:pPr>
    <w:rPr>
      <w:rFonts w:ascii="宋体" w:hAnsi="宋体" w:cs="宋体"/>
      <w:color w:val="666666"/>
      <w:kern w:val="0"/>
      <w:sz w:val="18"/>
      <w:szCs w:val="18"/>
    </w:rPr>
  </w:style>
  <w:style w:type="paragraph" w:customStyle="1" w:styleId="176">
    <w:name w:val="font14gray"/>
    <w:basedOn w:val="1"/>
    <w:autoRedefine/>
    <w:qFormat/>
    <w:uiPriority w:val="0"/>
    <w:pPr>
      <w:widowControl/>
      <w:spacing w:before="100" w:beforeAutospacing="1" w:after="100" w:afterAutospacing="1"/>
      <w:jc w:val="left"/>
    </w:pPr>
    <w:rPr>
      <w:rFonts w:ascii="宋体" w:hAnsi="宋体" w:cs="宋体"/>
      <w:b/>
      <w:bCs/>
      <w:color w:val="505050"/>
      <w:kern w:val="0"/>
      <w:szCs w:val="21"/>
    </w:rPr>
  </w:style>
  <w:style w:type="paragraph" w:customStyle="1" w:styleId="177">
    <w:name w:val="bord4b"/>
    <w:basedOn w:val="1"/>
    <w:autoRedefine/>
    <w:qFormat/>
    <w:uiPriority w:val="0"/>
    <w:pPr>
      <w:widowControl/>
      <w:pBdr>
        <w:top w:val="single" w:color="D2E8F7" w:sz="6" w:space="0"/>
        <w:left w:val="single" w:color="D2E8F7" w:sz="6" w:space="0"/>
        <w:bottom w:val="single" w:color="D2E8F7" w:sz="6" w:space="0"/>
        <w:right w:val="single" w:color="D2E8F7" w:sz="6" w:space="0"/>
      </w:pBdr>
      <w:spacing w:before="100" w:beforeAutospacing="1" w:after="100" w:afterAutospacing="1"/>
      <w:jc w:val="left"/>
    </w:pPr>
    <w:rPr>
      <w:rFonts w:ascii="宋体" w:hAnsi="宋体" w:cs="宋体"/>
      <w:kern w:val="0"/>
      <w:sz w:val="24"/>
      <w:szCs w:val="24"/>
    </w:rPr>
  </w:style>
  <w:style w:type="paragraph" w:customStyle="1" w:styleId="178">
    <w:name w:val="spbb_bord4b2"/>
    <w:basedOn w:val="1"/>
    <w:autoRedefine/>
    <w:qFormat/>
    <w:uiPriority w:val="0"/>
    <w:pPr>
      <w:widowControl/>
      <w:pBdr>
        <w:top w:val="single" w:color="CFC9BB" w:sz="6" w:space="0"/>
        <w:left w:val="single" w:color="CFC9BB" w:sz="6" w:space="0"/>
        <w:bottom w:val="single" w:color="CFC9BB" w:sz="6" w:space="0"/>
        <w:right w:val="single" w:color="CFC9BB" w:sz="6" w:space="0"/>
      </w:pBdr>
      <w:spacing w:before="100" w:beforeAutospacing="1" w:after="100" w:afterAutospacing="1"/>
      <w:jc w:val="left"/>
    </w:pPr>
    <w:rPr>
      <w:rFonts w:ascii="宋体" w:hAnsi="宋体" w:cs="宋体"/>
      <w:kern w:val="0"/>
      <w:sz w:val="24"/>
      <w:szCs w:val="24"/>
    </w:rPr>
  </w:style>
  <w:style w:type="paragraph" w:customStyle="1" w:styleId="179">
    <w:name w:val="font14black"/>
    <w:basedOn w:val="1"/>
    <w:autoRedefine/>
    <w:qFormat/>
    <w:uiPriority w:val="0"/>
    <w:pPr>
      <w:widowControl/>
      <w:spacing w:before="100" w:beforeAutospacing="1" w:after="100" w:afterAutospacing="1"/>
      <w:jc w:val="left"/>
    </w:pPr>
    <w:rPr>
      <w:rFonts w:ascii="宋体" w:hAnsi="宋体" w:cs="宋体"/>
      <w:b/>
      <w:bCs/>
      <w:color w:val="000000"/>
      <w:kern w:val="0"/>
      <w:szCs w:val="21"/>
    </w:rPr>
  </w:style>
  <w:style w:type="paragraph" w:customStyle="1" w:styleId="180">
    <w:name w:val="spbb_bord4b1"/>
    <w:basedOn w:val="1"/>
    <w:autoRedefine/>
    <w:qFormat/>
    <w:uiPriority w:val="0"/>
    <w:pPr>
      <w:widowControl/>
      <w:pBdr>
        <w:top w:val="single" w:color="69B1DE" w:sz="6" w:space="0"/>
        <w:left w:val="single" w:color="69B1DE" w:sz="6" w:space="0"/>
        <w:bottom w:val="single" w:color="69B1DE" w:sz="6" w:space="0"/>
        <w:right w:val="single" w:color="69B1DE" w:sz="6" w:space="0"/>
      </w:pBdr>
      <w:spacing w:before="100" w:beforeAutospacing="1" w:after="100" w:afterAutospacing="1"/>
      <w:jc w:val="left"/>
    </w:pPr>
    <w:rPr>
      <w:rFonts w:ascii="宋体" w:hAnsi="宋体" w:cs="宋体"/>
      <w:kern w:val="0"/>
      <w:sz w:val="24"/>
      <w:szCs w:val="24"/>
    </w:rPr>
  </w:style>
  <w:style w:type="paragraph" w:customStyle="1" w:styleId="181">
    <w:name w:val="iblue12"/>
    <w:basedOn w:val="1"/>
    <w:autoRedefine/>
    <w:qFormat/>
    <w:uiPriority w:val="0"/>
    <w:pPr>
      <w:widowControl/>
      <w:spacing w:before="100" w:beforeAutospacing="1" w:after="100" w:afterAutospacing="1"/>
      <w:jc w:val="left"/>
    </w:pPr>
    <w:rPr>
      <w:rFonts w:ascii="宋体" w:hAnsi="宋体" w:cs="宋体"/>
      <w:color w:val="075CA4"/>
      <w:kern w:val="0"/>
      <w:sz w:val="18"/>
      <w:szCs w:val="18"/>
    </w:rPr>
  </w:style>
  <w:style w:type="paragraph" w:customStyle="1" w:styleId="182">
    <w:name w:val="spbb_font"/>
    <w:basedOn w:val="1"/>
    <w:autoRedefine/>
    <w:qFormat/>
    <w:uiPriority w:val="0"/>
    <w:pPr>
      <w:widowControl/>
      <w:spacing w:before="100" w:beforeAutospacing="1" w:after="100" w:afterAutospacing="1"/>
      <w:jc w:val="left"/>
    </w:pPr>
    <w:rPr>
      <w:rFonts w:ascii="宋体" w:hAnsi="宋体" w:cs="宋体"/>
      <w:color w:val="999999"/>
      <w:kern w:val="0"/>
      <w:szCs w:val="21"/>
    </w:rPr>
  </w:style>
  <w:style w:type="paragraph" w:customStyle="1" w:styleId="183">
    <w:name w:val="xxhblue14"/>
    <w:basedOn w:val="1"/>
    <w:autoRedefine/>
    <w:qFormat/>
    <w:uiPriority w:val="0"/>
    <w:pPr>
      <w:widowControl/>
      <w:spacing w:before="100" w:beforeAutospacing="1" w:after="100" w:afterAutospacing="1"/>
      <w:jc w:val="left"/>
    </w:pPr>
    <w:rPr>
      <w:rFonts w:ascii="宋体" w:hAnsi="宋体" w:cs="宋体"/>
      <w:color w:val="004D9C"/>
      <w:kern w:val="0"/>
      <w:szCs w:val="21"/>
    </w:rPr>
  </w:style>
  <w:style w:type="paragraph" w:customStyle="1" w:styleId="184">
    <w:name w:val="font14width"/>
    <w:basedOn w:val="1"/>
    <w:autoRedefine/>
    <w:qFormat/>
    <w:uiPriority w:val="0"/>
    <w:pPr>
      <w:widowControl/>
      <w:spacing w:before="100" w:beforeAutospacing="1" w:after="100" w:afterAutospacing="1"/>
      <w:jc w:val="left"/>
    </w:pPr>
    <w:rPr>
      <w:rFonts w:ascii="宋体" w:hAnsi="宋体" w:cs="宋体"/>
      <w:b/>
      <w:bCs/>
      <w:color w:val="FFFFFF"/>
      <w:kern w:val="0"/>
      <w:szCs w:val="21"/>
    </w:rPr>
  </w:style>
  <w:style w:type="paragraph" w:customStyle="1" w:styleId="185">
    <w:name w:val="spbb_link3"/>
    <w:basedOn w:val="1"/>
    <w:autoRedefine/>
    <w:qFormat/>
    <w:uiPriority w:val="0"/>
    <w:pPr>
      <w:widowControl/>
      <w:spacing w:before="100" w:beforeAutospacing="1" w:after="100" w:afterAutospacing="1" w:line="240" w:lineRule="atLeast"/>
      <w:jc w:val="left"/>
    </w:pPr>
    <w:rPr>
      <w:rFonts w:ascii="宋体" w:hAnsi="宋体" w:cs="宋体"/>
      <w:color w:val="666666"/>
      <w:kern w:val="0"/>
      <w:sz w:val="18"/>
      <w:szCs w:val="18"/>
    </w:rPr>
  </w:style>
  <w:style w:type="paragraph" w:customStyle="1" w:styleId="186">
    <w:name w:val="ih13l18"/>
    <w:basedOn w:val="1"/>
    <w:autoRedefine/>
    <w:qFormat/>
    <w:uiPriority w:val="0"/>
    <w:pPr>
      <w:widowControl/>
      <w:spacing w:before="100" w:beforeAutospacing="1" w:after="100" w:afterAutospacing="1" w:line="270" w:lineRule="atLeast"/>
      <w:jc w:val="left"/>
    </w:pPr>
    <w:rPr>
      <w:rFonts w:ascii="宋体" w:hAnsi="宋体" w:cs="宋体"/>
      <w:color w:val="313131"/>
      <w:kern w:val="0"/>
      <w:sz w:val="20"/>
    </w:rPr>
  </w:style>
  <w:style w:type="paragraph" w:customStyle="1" w:styleId="187">
    <w:name w:val="tdscschlist"/>
    <w:basedOn w:val="1"/>
    <w:autoRedefine/>
    <w:qFormat/>
    <w:uiPriority w:val="0"/>
    <w:pPr>
      <w:widowControl/>
      <w:spacing w:before="165" w:after="100" w:afterAutospacing="1"/>
      <w:jc w:val="left"/>
    </w:pPr>
    <w:rPr>
      <w:rFonts w:ascii="宋体" w:hAnsi="宋体" w:cs="宋体"/>
      <w:kern w:val="0"/>
      <w:sz w:val="24"/>
      <w:szCs w:val="24"/>
    </w:rPr>
  </w:style>
  <w:style w:type="paragraph" w:customStyle="1" w:styleId="188">
    <w:name w:val="bsfwdiv2"/>
    <w:basedOn w:val="1"/>
    <w:autoRedefine/>
    <w:qFormat/>
    <w:uiPriority w:val="0"/>
    <w:pPr>
      <w:widowControl/>
      <w:spacing w:before="100" w:beforeAutospacing="1" w:after="100" w:afterAutospacing="1"/>
      <w:jc w:val="left"/>
    </w:pPr>
    <w:rPr>
      <w:rFonts w:ascii="宋体" w:hAnsi="宋体" w:cs="宋体"/>
      <w:b/>
      <w:bCs/>
      <w:color w:val="ADA700"/>
      <w:kern w:val="0"/>
      <w:szCs w:val="21"/>
    </w:rPr>
  </w:style>
  <w:style w:type="paragraph" w:customStyle="1" w:styleId="189">
    <w:name w:val="link8"/>
    <w:basedOn w:val="1"/>
    <w:autoRedefine/>
    <w:qFormat/>
    <w:uiPriority w:val="0"/>
    <w:pPr>
      <w:widowControl/>
      <w:spacing w:before="100" w:beforeAutospacing="1" w:after="100" w:afterAutospacing="1" w:line="270" w:lineRule="atLeast"/>
      <w:jc w:val="left"/>
    </w:pPr>
    <w:rPr>
      <w:rFonts w:ascii="宋体" w:hAnsi="宋体" w:cs="宋体"/>
      <w:color w:val="666666"/>
      <w:kern w:val="0"/>
      <w:sz w:val="18"/>
      <w:szCs w:val="18"/>
    </w:rPr>
  </w:style>
  <w:style w:type="paragraph" w:customStyle="1" w:styleId="190">
    <w:name w:val="menubox"/>
    <w:basedOn w:val="1"/>
    <w:autoRedefine/>
    <w:qFormat/>
    <w:uiPriority w:val="0"/>
    <w:pPr>
      <w:widowControl/>
      <w:spacing w:before="100" w:beforeAutospacing="1" w:after="100" w:afterAutospacing="1" w:line="420" w:lineRule="atLeast"/>
      <w:jc w:val="left"/>
    </w:pPr>
    <w:rPr>
      <w:rFonts w:ascii="宋体" w:hAnsi="宋体" w:cs="宋体"/>
      <w:kern w:val="0"/>
      <w:sz w:val="24"/>
      <w:szCs w:val="24"/>
    </w:rPr>
  </w:style>
  <w:style w:type="paragraph" w:customStyle="1" w:styleId="191">
    <w:name w:val="spbb_bord2"/>
    <w:basedOn w:val="1"/>
    <w:autoRedefine/>
    <w:qFormat/>
    <w:uiPriority w:val="0"/>
    <w:pPr>
      <w:widowControl/>
      <w:pBdr>
        <w:left w:val="single" w:color="7D7559" w:sz="6" w:space="0"/>
        <w:bottom w:val="single" w:color="7D7559" w:sz="6" w:space="0"/>
        <w:right w:val="single" w:color="7D7559" w:sz="6" w:space="0"/>
      </w:pBdr>
      <w:spacing w:before="100" w:beforeAutospacing="1" w:after="100" w:afterAutospacing="1"/>
      <w:jc w:val="left"/>
    </w:pPr>
    <w:rPr>
      <w:rFonts w:ascii="宋体" w:hAnsi="宋体" w:cs="宋体"/>
      <w:kern w:val="0"/>
      <w:sz w:val="24"/>
      <w:szCs w:val="24"/>
    </w:rPr>
  </w:style>
  <w:style w:type="paragraph" w:customStyle="1" w:styleId="192">
    <w:name w:val="flfg_bord"/>
    <w:basedOn w:val="1"/>
    <w:autoRedefine/>
    <w:qFormat/>
    <w:uiPriority w:val="0"/>
    <w:pPr>
      <w:widowControl/>
      <w:pBdr>
        <w:top w:val="single" w:color="E3F1FB" w:sz="6" w:space="0"/>
        <w:left w:val="single" w:color="E3F1FB" w:sz="6" w:space="0"/>
        <w:bottom w:val="single" w:color="E3F1FB" w:sz="6" w:space="0"/>
        <w:right w:val="single" w:color="E3F1FB" w:sz="6" w:space="0"/>
      </w:pBdr>
      <w:spacing w:before="100" w:beforeAutospacing="1" w:after="100" w:afterAutospacing="1"/>
      <w:jc w:val="left"/>
    </w:pPr>
    <w:rPr>
      <w:rFonts w:ascii="宋体" w:hAnsi="宋体" w:cs="宋体"/>
      <w:kern w:val="0"/>
      <w:sz w:val="24"/>
      <w:szCs w:val="24"/>
    </w:rPr>
  </w:style>
  <w:style w:type="paragraph" w:customStyle="1" w:styleId="193">
    <w:name w:val="zwdtzctl"/>
    <w:basedOn w:val="1"/>
    <w:autoRedefine/>
    <w:qFormat/>
    <w:uiPriority w:val="0"/>
    <w:pPr>
      <w:widowControl/>
      <w:spacing w:before="100" w:beforeAutospacing="1" w:after="100" w:afterAutospacing="1"/>
      <w:jc w:val="left"/>
    </w:pPr>
    <w:rPr>
      <w:rFonts w:ascii="宋体" w:hAnsi="宋体" w:cs="宋体"/>
      <w:color w:val="0E3C72"/>
      <w:kern w:val="0"/>
      <w:szCs w:val="21"/>
    </w:rPr>
  </w:style>
  <w:style w:type="paragraph" w:customStyle="1" w:styleId="194">
    <w:name w:val="bord1"/>
    <w:basedOn w:val="1"/>
    <w:autoRedefine/>
    <w:qFormat/>
    <w:uiPriority w:val="0"/>
    <w:pPr>
      <w:widowControl/>
      <w:pBdr>
        <w:top w:val="single" w:color="CCCCCC" w:sz="6" w:space="0"/>
        <w:left w:val="single" w:color="CCCCCC" w:sz="6" w:space="0"/>
        <w:bottom w:val="single" w:color="CCCCCC" w:sz="6" w:space="0"/>
        <w:right w:val="single" w:color="CCCCCC" w:sz="6" w:space="0"/>
      </w:pBdr>
      <w:spacing w:before="100" w:beforeAutospacing="1" w:after="100" w:afterAutospacing="1"/>
      <w:jc w:val="left"/>
    </w:pPr>
    <w:rPr>
      <w:rFonts w:ascii="宋体" w:hAnsi="宋体" w:cs="宋体"/>
      <w:kern w:val="0"/>
      <w:sz w:val="24"/>
      <w:szCs w:val="24"/>
    </w:rPr>
  </w:style>
  <w:style w:type="paragraph" w:customStyle="1" w:styleId="195">
    <w:name w:val="zwf_title"/>
    <w:basedOn w:val="1"/>
    <w:autoRedefine/>
    <w:qFormat/>
    <w:uiPriority w:val="0"/>
    <w:pPr>
      <w:widowControl/>
      <w:spacing w:before="100" w:beforeAutospacing="1" w:after="100" w:afterAutospacing="1" w:line="345" w:lineRule="atLeast"/>
      <w:jc w:val="left"/>
    </w:pPr>
    <w:rPr>
      <w:rFonts w:ascii="宋体" w:hAnsi="宋体" w:cs="宋体"/>
      <w:b/>
      <w:bCs/>
      <w:color w:val="666666"/>
      <w:kern w:val="0"/>
      <w:sz w:val="24"/>
      <w:szCs w:val="24"/>
    </w:rPr>
  </w:style>
  <w:style w:type="paragraph" w:customStyle="1" w:styleId="196">
    <w:name w:val="page"/>
    <w:basedOn w:val="1"/>
    <w:autoRedefine/>
    <w:qFormat/>
    <w:uiPriority w:val="0"/>
    <w:pPr>
      <w:widowControl/>
      <w:spacing w:before="100" w:beforeAutospacing="1" w:after="100" w:afterAutospacing="1"/>
      <w:jc w:val="left"/>
    </w:pPr>
    <w:rPr>
      <w:rFonts w:ascii="宋体" w:hAnsi="宋体" w:cs="宋体"/>
      <w:color w:val="184B7A"/>
      <w:kern w:val="0"/>
      <w:szCs w:val="21"/>
    </w:rPr>
  </w:style>
  <w:style w:type="paragraph" w:customStyle="1" w:styleId="197">
    <w:name w:val="wskt_more"/>
    <w:basedOn w:val="1"/>
    <w:autoRedefine/>
    <w:qFormat/>
    <w:uiPriority w:val="0"/>
    <w:pPr>
      <w:widowControl/>
      <w:spacing w:before="100" w:beforeAutospacing="1" w:after="100" w:afterAutospacing="1" w:line="240" w:lineRule="atLeast"/>
      <w:jc w:val="left"/>
    </w:pPr>
    <w:rPr>
      <w:rFonts w:ascii="宋体" w:hAnsi="宋体" w:cs="宋体"/>
      <w:color w:val="E9471B"/>
      <w:kern w:val="0"/>
      <w:sz w:val="18"/>
      <w:szCs w:val="18"/>
    </w:rPr>
  </w:style>
  <w:style w:type="paragraph" w:customStyle="1" w:styleId="198">
    <w:name w:val="flfg_bord3"/>
    <w:basedOn w:val="1"/>
    <w:autoRedefine/>
    <w:qFormat/>
    <w:uiPriority w:val="0"/>
    <w:pPr>
      <w:widowControl/>
      <w:pBdr>
        <w:right w:val="single" w:color="E3F1FB" w:sz="6" w:space="0"/>
      </w:pBdr>
      <w:spacing w:before="100" w:beforeAutospacing="1" w:after="100" w:afterAutospacing="1"/>
      <w:jc w:val="left"/>
    </w:pPr>
    <w:rPr>
      <w:rFonts w:ascii="宋体" w:hAnsi="宋体" w:cs="宋体"/>
      <w:kern w:val="0"/>
      <w:sz w:val="24"/>
      <w:szCs w:val="24"/>
    </w:rPr>
  </w:style>
  <w:style w:type="paragraph" w:customStyle="1" w:styleId="199">
    <w:name w:val="style2"/>
    <w:basedOn w:val="1"/>
    <w:autoRedefine/>
    <w:qFormat/>
    <w:uiPriority w:val="0"/>
    <w:pPr>
      <w:widowControl/>
      <w:spacing w:before="100" w:beforeAutospacing="1" w:after="100" w:afterAutospacing="1"/>
      <w:jc w:val="left"/>
    </w:pPr>
    <w:rPr>
      <w:rFonts w:ascii="楷体_GB2312" w:hAnsi="宋体" w:eastAsia="楷体_GB2312" w:cs="宋体"/>
      <w:kern w:val="0"/>
      <w:szCs w:val="21"/>
    </w:rPr>
  </w:style>
  <w:style w:type="paragraph" w:customStyle="1" w:styleId="200">
    <w:name w:val="wskt_link1"/>
    <w:basedOn w:val="1"/>
    <w:autoRedefine/>
    <w:qFormat/>
    <w:uiPriority w:val="0"/>
    <w:pPr>
      <w:widowControl/>
      <w:spacing w:before="100" w:beforeAutospacing="1" w:after="100" w:afterAutospacing="1" w:line="240" w:lineRule="atLeast"/>
      <w:jc w:val="left"/>
    </w:pPr>
    <w:rPr>
      <w:rFonts w:ascii="宋体" w:hAnsi="宋体" w:cs="宋体"/>
      <w:color w:val="333333"/>
      <w:kern w:val="0"/>
      <w:sz w:val="18"/>
      <w:szCs w:val="18"/>
    </w:rPr>
  </w:style>
  <w:style w:type="paragraph" w:customStyle="1" w:styleId="201">
    <w:name w:val="ih13"/>
    <w:basedOn w:val="1"/>
    <w:autoRedefine/>
    <w:qFormat/>
    <w:uiPriority w:val="0"/>
    <w:pPr>
      <w:widowControl/>
      <w:spacing w:before="100" w:beforeAutospacing="1" w:after="100" w:afterAutospacing="1"/>
      <w:jc w:val="left"/>
    </w:pPr>
    <w:rPr>
      <w:rFonts w:ascii="宋体" w:hAnsi="宋体" w:cs="宋体"/>
      <w:color w:val="212121"/>
      <w:kern w:val="0"/>
      <w:sz w:val="20"/>
    </w:rPr>
  </w:style>
  <w:style w:type="paragraph" w:customStyle="1" w:styleId="202">
    <w:name w:val="wskt_link"/>
    <w:basedOn w:val="1"/>
    <w:autoRedefine/>
    <w:qFormat/>
    <w:uiPriority w:val="0"/>
    <w:pPr>
      <w:widowControl/>
      <w:spacing w:before="100" w:beforeAutospacing="1" w:after="100" w:afterAutospacing="1" w:line="240" w:lineRule="atLeast"/>
      <w:jc w:val="left"/>
    </w:pPr>
    <w:rPr>
      <w:rFonts w:ascii="宋体" w:hAnsi="宋体" w:cs="宋体"/>
      <w:b/>
      <w:bCs/>
      <w:color w:val="333333"/>
      <w:kern w:val="0"/>
      <w:sz w:val="18"/>
      <w:szCs w:val="18"/>
    </w:rPr>
  </w:style>
  <w:style w:type="paragraph" w:customStyle="1" w:styleId="203">
    <w:name w:val="link2"/>
    <w:basedOn w:val="1"/>
    <w:autoRedefine/>
    <w:qFormat/>
    <w:uiPriority w:val="0"/>
    <w:pPr>
      <w:widowControl/>
      <w:spacing w:before="100" w:beforeAutospacing="1" w:after="100" w:afterAutospacing="1"/>
      <w:jc w:val="left"/>
    </w:pPr>
    <w:rPr>
      <w:rFonts w:ascii="宋体" w:hAnsi="宋体" w:cs="宋体"/>
      <w:color w:val="003399"/>
      <w:kern w:val="0"/>
      <w:szCs w:val="21"/>
    </w:rPr>
  </w:style>
  <w:style w:type="paragraph" w:customStyle="1" w:styleId="204">
    <w:name w:val="zwgkmenu"/>
    <w:basedOn w:val="1"/>
    <w:autoRedefine/>
    <w:qFormat/>
    <w:uiPriority w:val="0"/>
    <w:pPr>
      <w:widowControl/>
      <w:spacing w:before="100" w:beforeAutospacing="1" w:after="100" w:afterAutospacing="1"/>
      <w:jc w:val="left"/>
    </w:pPr>
    <w:rPr>
      <w:rFonts w:ascii="宋体" w:hAnsi="宋体" w:cs="宋体"/>
      <w:color w:val="003366"/>
      <w:kern w:val="0"/>
      <w:sz w:val="20"/>
    </w:rPr>
  </w:style>
  <w:style w:type="paragraph" w:customStyle="1" w:styleId="205">
    <w:name w:val="bordbottom"/>
    <w:basedOn w:val="1"/>
    <w:autoRedefine/>
    <w:qFormat/>
    <w:uiPriority w:val="0"/>
    <w:pPr>
      <w:widowControl/>
      <w:pBdr>
        <w:top w:val="single" w:color="CCCCCC" w:sz="6" w:space="0"/>
      </w:pBdr>
      <w:spacing w:before="100" w:beforeAutospacing="1" w:after="100" w:afterAutospacing="1"/>
      <w:jc w:val="left"/>
    </w:pPr>
    <w:rPr>
      <w:rFonts w:ascii="宋体" w:hAnsi="宋体" w:cs="宋体"/>
      <w:kern w:val="0"/>
      <w:sz w:val="24"/>
      <w:szCs w:val="24"/>
    </w:rPr>
  </w:style>
  <w:style w:type="paragraph" w:customStyle="1" w:styleId="206">
    <w:name w:val="tdsch12"/>
    <w:basedOn w:val="1"/>
    <w:autoRedefine/>
    <w:qFormat/>
    <w:uiPriority w:val="0"/>
    <w:pPr>
      <w:widowControl/>
      <w:spacing w:before="100" w:beforeAutospacing="1" w:after="100" w:afterAutospacing="1"/>
      <w:jc w:val="left"/>
    </w:pPr>
    <w:rPr>
      <w:rFonts w:ascii="宋体" w:hAnsi="宋体" w:cs="宋体"/>
      <w:color w:val="2A2A2A"/>
      <w:kern w:val="0"/>
      <w:sz w:val="18"/>
      <w:szCs w:val="18"/>
    </w:rPr>
  </w:style>
  <w:style w:type="paragraph" w:customStyle="1" w:styleId="207">
    <w:name w:val="align_center"/>
    <w:basedOn w:val="1"/>
    <w:autoRedefine/>
    <w:qFormat/>
    <w:uiPriority w:val="0"/>
    <w:pPr>
      <w:widowControl/>
      <w:spacing w:before="100" w:beforeAutospacing="1" w:after="100" w:afterAutospacing="1"/>
      <w:jc w:val="center"/>
    </w:pPr>
    <w:rPr>
      <w:rFonts w:ascii="宋体" w:hAnsi="宋体" w:cs="宋体"/>
      <w:kern w:val="0"/>
      <w:sz w:val="24"/>
      <w:szCs w:val="24"/>
    </w:rPr>
  </w:style>
  <w:style w:type="paragraph" w:customStyle="1" w:styleId="208">
    <w:name w:val="章标题"/>
    <w:basedOn w:val="1"/>
    <w:next w:val="209"/>
    <w:autoRedefine/>
    <w:qFormat/>
    <w:uiPriority w:val="0"/>
    <w:pPr>
      <w:widowControl/>
      <w:spacing w:before="158" w:after="153" w:line="323" w:lineRule="atLeast"/>
      <w:jc w:val="center"/>
      <w:textAlignment w:val="baseline"/>
    </w:pPr>
    <w:rPr>
      <w:rFonts w:ascii="Arial" w:eastAsia="黑体"/>
      <w:color w:val="000000"/>
      <w:kern w:val="0"/>
      <w:sz w:val="31"/>
    </w:rPr>
  </w:style>
  <w:style w:type="paragraph" w:customStyle="1" w:styleId="209">
    <w:name w:val="节标题"/>
    <w:basedOn w:val="1"/>
    <w:next w:val="210"/>
    <w:autoRedefine/>
    <w:qFormat/>
    <w:uiPriority w:val="0"/>
    <w:pPr>
      <w:widowControl/>
      <w:spacing w:line="289" w:lineRule="atLeast"/>
      <w:jc w:val="center"/>
      <w:textAlignment w:val="baseline"/>
    </w:pPr>
    <w:rPr>
      <w:color w:val="000000"/>
      <w:kern w:val="0"/>
      <w:sz w:val="28"/>
    </w:rPr>
  </w:style>
  <w:style w:type="paragraph" w:customStyle="1" w:styleId="210">
    <w:name w:val="小节标题"/>
    <w:basedOn w:val="1"/>
    <w:next w:val="1"/>
    <w:autoRedefine/>
    <w:qFormat/>
    <w:uiPriority w:val="0"/>
    <w:pPr>
      <w:widowControl/>
      <w:spacing w:before="175" w:after="102" w:line="351" w:lineRule="atLeast"/>
      <w:textAlignment w:val="baseline"/>
    </w:pPr>
    <w:rPr>
      <w:rFonts w:eastAsia="黑体"/>
      <w:color w:val="000000"/>
      <w:kern w:val="0"/>
    </w:rPr>
  </w:style>
  <w:style w:type="paragraph" w:customStyle="1" w:styleId="211">
    <w:name w:val="floatl"/>
    <w:basedOn w:val="1"/>
    <w:autoRedefine/>
    <w:qFormat/>
    <w:uiPriority w:val="0"/>
    <w:pPr>
      <w:widowControl/>
      <w:spacing w:before="15"/>
      <w:ind w:left="75" w:right="60"/>
      <w:jc w:val="left"/>
    </w:pPr>
    <w:rPr>
      <w:rFonts w:ascii="宋体" w:hAnsi="宋体" w:cs="宋体"/>
      <w:kern w:val="0"/>
      <w:sz w:val="24"/>
      <w:szCs w:val="24"/>
    </w:rPr>
  </w:style>
  <w:style w:type="paragraph" w:customStyle="1" w:styleId="212">
    <w:name w:val="spbb_news"/>
    <w:basedOn w:val="1"/>
    <w:autoRedefine/>
    <w:qFormat/>
    <w:uiPriority w:val="0"/>
    <w:pPr>
      <w:widowControl/>
      <w:spacing w:before="100" w:beforeAutospacing="1" w:after="100" w:afterAutospacing="1"/>
      <w:jc w:val="left"/>
    </w:pPr>
    <w:rPr>
      <w:rFonts w:ascii="宋体" w:hAnsi="宋体" w:cs="宋体"/>
      <w:color w:val="333333"/>
      <w:kern w:val="0"/>
      <w:sz w:val="18"/>
      <w:szCs w:val="18"/>
    </w:rPr>
  </w:style>
  <w:style w:type="paragraph" w:customStyle="1" w:styleId="213">
    <w:name w:val="menu"/>
    <w:basedOn w:val="1"/>
    <w:autoRedefine/>
    <w:qFormat/>
    <w:uiPriority w:val="0"/>
    <w:pPr>
      <w:widowControl/>
      <w:spacing w:before="100" w:beforeAutospacing="1" w:after="100" w:afterAutospacing="1"/>
      <w:jc w:val="left"/>
    </w:pPr>
    <w:rPr>
      <w:rFonts w:ascii="宋体" w:hAnsi="宋体" w:cs="宋体"/>
      <w:color w:val="333333"/>
      <w:kern w:val="0"/>
      <w:szCs w:val="21"/>
    </w:rPr>
  </w:style>
  <w:style w:type="paragraph" w:customStyle="1" w:styleId="214">
    <w:name w:val="bsfwdiv1"/>
    <w:basedOn w:val="1"/>
    <w:autoRedefine/>
    <w:qFormat/>
    <w:uiPriority w:val="0"/>
    <w:pPr>
      <w:widowControl/>
      <w:spacing w:before="100" w:beforeAutospacing="1" w:after="100" w:afterAutospacing="1"/>
      <w:jc w:val="left"/>
    </w:pPr>
    <w:rPr>
      <w:rFonts w:ascii="宋体" w:hAnsi="宋体" w:cs="宋体"/>
      <w:b/>
      <w:bCs/>
      <w:color w:val="FFFFFF"/>
      <w:kern w:val="0"/>
      <w:szCs w:val="21"/>
    </w:rPr>
  </w:style>
  <w:style w:type="paragraph" w:customStyle="1" w:styleId="215">
    <w:name w:val="bord2b"/>
    <w:basedOn w:val="1"/>
    <w:autoRedefine/>
    <w:qFormat/>
    <w:uiPriority w:val="0"/>
    <w:pPr>
      <w:widowControl/>
      <w:pBdr>
        <w:bottom w:val="single" w:color="D2E2E7" w:sz="6" w:space="0"/>
        <w:right w:val="single" w:color="D2E2E7" w:sz="6" w:space="0"/>
      </w:pBdr>
      <w:spacing w:before="100" w:beforeAutospacing="1" w:after="100" w:afterAutospacing="1"/>
      <w:jc w:val="left"/>
    </w:pPr>
    <w:rPr>
      <w:rFonts w:ascii="宋体" w:hAnsi="宋体" w:cs="宋体"/>
      <w:kern w:val="0"/>
      <w:sz w:val="24"/>
      <w:szCs w:val="24"/>
    </w:rPr>
  </w:style>
  <w:style w:type="paragraph" w:customStyle="1" w:styleId="216">
    <w:name w:val="列出段落1"/>
    <w:basedOn w:val="1"/>
    <w:autoRedefine/>
    <w:qFormat/>
    <w:uiPriority w:val="34"/>
    <w:pPr>
      <w:ind w:firstLine="420" w:firstLineChars="200"/>
    </w:pPr>
  </w:style>
  <w:style w:type="paragraph" w:customStyle="1" w:styleId="217">
    <w:name w:val="title03"/>
    <w:basedOn w:val="1"/>
    <w:autoRedefine/>
    <w:qFormat/>
    <w:uiPriority w:val="0"/>
    <w:pPr>
      <w:widowControl/>
      <w:spacing w:before="100" w:beforeAutospacing="1" w:after="100" w:afterAutospacing="1"/>
      <w:jc w:val="left"/>
    </w:pPr>
    <w:rPr>
      <w:rFonts w:ascii="宋体" w:hAnsi="宋体" w:cs="宋体"/>
      <w:color w:val="CC0000"/>
      <w:kern w:val="0"/>
      <w:szCs w:val="21"/>
    </w:rPr>
  </w:style>
  <w:style w:type="paragraph" w:customStyle="1" w:styleId="218">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19">
    <w:name w:val="Char Char Char Char Char Char Char"/>
    <w:basedOn w:val="1"/>
    <w:autoRedefine/>
    <w:qFormat/>
    <w:uiPriority w:val="0"/>
    <w:pPr>
      <w:widowControl/>
      <w:spacing w:after="160" w:line="240" w:lineRule="exact"/>
      <w:jc w:val="left"/>
    </w:pPr>
    <w:rPr>
      <w:rFonts w:ascii="Verdana" w:hAnsi="Verdana" w:eastAsia="Times New Roman"/>
      <w:kern w:val="0"/>
      <w:sz w:val="20"/>
      <w:lang w:eastAsia="en-US"/>
    </w:rPr>
  </w:style>
  <w:style w:type="paragraph" w:customStyle="1" w:styleId="220">
    <w:name w:val="font14blue"/>
    <w:basedOn w:val="1"/>
    <w:autoRedefine/>
    <w:qFormat/>
    <w:uiPriority w:val="0"/>
    <w:pPr>
      <w:widowControl/>
      <w:spacing w:before="100" w:beforeAutospacing="1" w:after="100" w:afterAutospacing="1" w:line="345" w:lineRule="atLeast"/>
      <w:jc w:val="left"/>
    </w:pPr>
    <w:rPr>
      <w:rFonts w:ascii="宋体" w:hAnsi="宋体" w:cs="宋体"/>
      <w:b/>
      <w:bCs/>
      <w:color w:val="184B7A"/>
      <w:kern w:val="0"/>
      <w:szCs w:val="21"/>
    </w:rPr>
  </w:style>
  <w:style w:type="paragraph" w:customStyle="1" w:styleId="221">
    <w:name w:val="Char Char Char Char"/>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222">
    <w:name w:val="jgdjmenu"/>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23">
    <w:name w:val="gray12"/>
    <w:basedOn w:val="1"/>
    <w:autoRedefine/>
    <w:qFormat/>
    <w:uiPriority w:val="0"/>
    <w:pPr>
      <w:widowControl/>
      <w:spacing w:before="100" w:beforeAutospacing="1" w:after="100" w:afterAutospacing="1"/>
      <w:jc w:val="left"/>
    </w:pPr>
    <w:rPr>
      <w:rFonts w:ascii="宋体" w:hAnsi="宋体" w:cs="宋体"/>
      <w:color w:val="888888"/>
      <w:kern w:val="0"/>
      <w:sz w:val="18"/>
      <w:szCs w:val="18"/>
    </w:rPr>
  </w:style>
  <w:style w:type="paragraph" w:customStyle="1" w:styleId="224">
    <w:name w:val="ll0"/>
    <w:basedOn w:val="225"/>
    <w:autoRedefine/>
    <w:qFormat/>
    <w:uiPriority w:val="0"/>
    <w:pPr>
      <w:numPr>
        <w:numId w:val="0"/>
      </w:numPr>
      <w:tabs>
        <w:tab w:val="left" w:pos="420"/>
      </w:tabs>
      <w:ind w:firstLine="420"/>
    </w:pPr>
    <w:rPr>
      <w:rFonts w:ascii="宋体" w:eastAsia="宋体"/>
      <w:b w:val="0"/>
      <w:spacing w:val="12"/>
    </w:rPr>
  </w:style>
  <w:style w:type="paragraph" w:customStyle="1" w:styleId="225">
    <w:name w:val="样式1"/>
    <w:basedOn w:val="1"/>
    <w:autoRedefine/>
    <w:qFormat/>
    <w:uiPriority w:val="0"/>
    <w:pPr>
      <w:numPr>
        <w:ilvl w:val="0"/>
        <w:numId w:val="1"/>
      </w:numPr>
      <w:spacing w:line="460" w:lineRule="exact"/>
    </w:pPr>
    <w:rPr>
      <w:rFonts w:eastAsia="文鼎中隶简"/>
      <w:b/>
      <w:sz w:val="24"/>
    </w:rPr>
  </w:style>
  <w:style w:type="paragraph" w:customStyle="1" w:styleId="226">
    <w:name w:val="Char Char Char Char Char Char Char1"/>
    <w:basedOn w:val="1"/>
    <w:autoRedefine/>
    <w:qFormat/>
    <w:uiPriority w:val="0"/>
    <w:pPr>
      <w:widowControl/>
      <w:spacing w:after="160" w:line="240" w:lineRule="exact"/>
      <w:jc w:val="left"/>
    </w:pPr>
    <w:rPr>
      <w:rFonts w:ascii="Verdana" w:hAnsi="Verdana" w:eastAsia="Times New Roman"/>
      <w:kern w:val="0"/>
      <w:sz w:val="20"/>
      <w:lang w:eastAsia="en-US"/>
    </w:rPr>
  </w:style>
  <w:style w:type="paragraph" w:customStyle="1" w:styleId="227">
    <w:name w:val="iy13"/>
    <w:basedOn w:val="1"/>
    <w:autoRedefine/>
    <w:qFormat/>
    <w:uiPriority w:val="0"/>
    <w:pPr>
      <w:widowControl/>
      <w:spacing w:before="100" w:beforeAutospacing="1" w:after="100" w:afterAutospacing="1"/>
      <w:jc w:val="left"/>
    </w:pPr>
    <w:rPr>
      <w:rFonts w:ascii="宋体" w:hAnsi="宋体" w:cs="宋体"/>
      <w:color w:val="615015"/>
      <w:kern w:val="0"/>
      <w:sz w:val="20"/>
    </w:rPr>
  </w:style>
  <w:style w:type="paragraph" w:customStyle="1" w:styleId="228">
    <w:name w:val="列出段落11"/>
    <w:basedOn w:val="1"/>
    <w:autoRedefine/>
    <w:qFormat/>
    <w:uiPriority w:val="34"/>
    <w:pPr>
      <w:ind w:firstLine="420" w:firstLineChars="200"/>
    </w:pPr>
  </w:style>
  <w:style w:type="paragraph" w:customStyle="1" w:styleId="229">
    <w:name w:val="flfg_link2"/>
    <w:basedOn w:val="1"/>
    <w:autoRedefine/>
    <w:qFormat/>
    <w:uiPriority w:val="0"/>
    <w:pPr>
      <w:widowControl/>
      <w:spacing w:before="100" w:beforeAutospacing="1" w:after="100" w:afterAutospacing="1" w:line="270" w:lineRule="atLeast"/>
      <w:jc w:val="left"/>
    </w:pPr>
    <w:rPr>
      <w:rFonts w:ascii="宋体" w:hAnsi="宋体" w:cs="宋体"/>
      <w:color w:val="CC0000"/>
      <w:kern w:val="0"/>
      <w:szCs w:val="21"/>
    </w:rPr>
  </w:style>
  <w:style w:type="paragraph" w:customStyle="1" w:styleId="230">
    <w:name w:val="xl24"/>
    <w:basedOn w:val="1"/>
    <w:autoRedefine/>
    <w:qFormat/>
    <w:uiPriority w:val="0"/>
    <w:pPr>
      <w:widowControl/>
      <w:spacing w:before="100" w:beforeAutospacing="1" w:after="100" w:afterAutospacing="1"/>
      <w:jc w:val="center"/>
      <w:textAlignment w:val="center"/>
    </w:pPr>
    <w:rPr>
      <w:rFonts w:ascii="宋体" w:hAnsi="宋体"/>
      <w:kern w:val="0"/>
      <w:sz w:val="24"/>
      <w:szCs w:val="24"/>
    </w:rPr>
  </w:style>
  <w:style w:type="paragraph" w:customStyle="1" w:styleId="231">
    <w:name w:val="wskt_bord2"/>
    <w:basedOn w:val="1"/>
    <w:autoRedefine/>
    <w:qFormat/>
    <w:uiPriority w:val="0"/>
    <w:pPr>
      <w:widowControl/>
      <w:pBdr>
        <w:left w:val="single" w:color="CCCCCC" w:sz="6" w:space="0"/>
        <w:right w:val="single" w:color="CCCCCC" w:sz="6" w:space="0"/>
      </w:pBdr>
      <w:spacing w:before="100" w:beforeAutospacing="1" w:after="100" w:afterAutospacing="1"/>
      <w:jc w:val="left"/>
    </w:pPr>
    <w:rPr>
      <w:rFonts w:ascii="宋体" w:hAnsi="宋体" w:cs="宋体"/>
      <w:kern w:val="0"/>
      <w:sz w:val="24"/>
      <w:szCs w:val="24"/>
    </w:rPr>
  </w:style>
  <w:style w:type="paragraph" w:customStyle="1" w:styleId="232">
    <w:name w:val="zmhd_bord3b"/>
    <w:basedOn w:val="1"/>
    <w:autoRedefine/>
    <w:qFormat/>
    <w:uiPriority w:val="0"/>
    <w:pPr>
      <w:widowControl/>
      <w:pBdr>
        <w:top w:val="single" w:color="CFD9DE" w:sz="6" w:space="0"/>
        <w:left w:val="single" w:color="CFD9DE" w:sz="6" w:space="0"/>
        <w:right w:val="single" w:color="CFD9DE" w:sz="6" w:space="0"/>
      </w:pBdr>
      <w:spacing w:before="100" w:beforeAutospacing="1" w:after="100" w:afterAutospacing="1"/>
      <w:jc w:val="left"/>
    </w:pPr>
    <w:rPr>
      <w:rFonts w:ascii="宋体" w:hAnsi="宋体" w:cs="宋体"/>
      <w:kern w:val="0"/>
      <w:sz w:val="24"/>
      <w:szCs w:val="24"/>
    </w:rPr>
  </w:style>
  <w:style w:type="paragraph" w:customStyle="1" w:styleId="233">
    <w:name w:val="tdsctop"/>
    <w:basedOn w:val="1"/>
    <w:autoRedefine/>
    <w:qFormat/>
    <w:uiPriority w:val="0"/>
    <w:pPr>
      <w:widowControl/>
      <w:spacing w:before="100" w:beforeAutospacing="1" w:after="100" w:afterAutospacing="1"/>
      <w:jc w:val="left"/>
    </w:pPr>
    <w:rPr>
      <w:rFonts w:ascii="宋体" w:hAnsi="宋体" w:cs="宋体"/>
      <w:color w:val="CA0000"/>
      <w:kern w:val="0"/>
      <w:sz w:val="18"/>
      <w:szCs w:val="18"/>
    </w:rPr>
  </w:style>
  <w:style w:type="paragraph" w:customStyle="1" w:styleId="234">
    <w:name w:val="wskt_link2"/>
    <w:basedOn w:val="1"/>
    <w:autoRedefine/>
    <w:qFormat/>
    <w:uiPriority w:val="0"/>
    <w:pPr>
      <w:widowControl/>
      <w:spacing w:before="100" w:beforeAutospacing="1" w:after="100" w:afterAutospacing="1" w:line="270" w:lineRule="atLeast"/>
      <w:jc w:val="left"/>
    </w:pPr>
    <w:rPr>
      <w:rFonts w:ascii="宋体" w:hAnsi="宋体" w:cs="宋体"/>
      <w:color w:val="333333"/>
      <w:kern w:val="0"/>
      <w:sz w:val="18"/>
      <w:szCs w:val="18"/>
    </w:rPr>
  </w:style>
  <w:style w:type="paragraph" w:customStyle="1" w:styleId="235">
    <w:name w:val="tssc13tt"/>
    <w:basedOn w:val="1"/>
    <w:autoRedefine/>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236">
    <w:name w:val="kyqsctop"/>
    <w:basedOn w:val="1"/>
    <w:autoRedefine/>
    <w:qFormat/>
    <w:uiPriority w:val="0"/>
    <w:pPr>
      <w:widowControl/>
      <w:spacing w:before="100" w:beforeAutospacing="1" w:after="100" w:afterAutospacing="1"/>
      <w:jc w:val="left"/>
    </w:pPr>
    <w:rPr>
      <w:rFonts w:ascii="宋体" w:hAnsi="宋体" w:cs="宋体"/>
      <w:color w:val="1949B6"/>
      <w:kern w:val="0"/>
      <w:sz w:val="18"/>
      <w:szCs w:val="18"/>
    </w:rPr>
  </w:style>
  <w:style w:type="paragraph" w:customStyle="1" w:styleId="237">
    <w:name w:val="ibl1"/>
    <w:basedOn w:val="1"/>
    <w:autoRedefine/>
    <w:qFormat/>
    <w:uiPriority w:val="0"/>
    <w:pPr>
      <w:widowControl/>
      <w:spacing w:before="100" w:beforeAutospacing="1" w:after="100" w:afterAutospacing="1"/>
      <w:jc w:val="left"/>
    </w:pPr>
    <w:rPr>
      <w:rFonts w:ascii="宋体" w:hAnsi="宋体" w:cs="宋体"/>
      <w:color w:val="04399B"/>
      <w:spacing w:val="15"/>
      <w:kern w:val="0"/>
      <w:sz w:val="18"/>
      <w:szCs w:val="18"/>
    </w:rPr>
  </w:style>
  <w:style w:type="paragraph" w:customStyle="1" w:styleId="238">
    <w:name w:val="iblues13"/>
    <w:basedOn w:val="1"/>
    <w:autoRedefine/>
    <w:qFormat/>
    <w:uiPriority w:val="0"/>
    <w:pPr>
      <w:widowControl/>
      <w:spacing w:before="100" w:beforeAutospacing="1" w:after="100" w:afterAutospacing="1"/>
      <w:jc w:val="left"/>
    </w:pPr>
    <w:rPr>
      <w:rFonts w:ascii="宋体" w:hAnsi="宋体" w:cs="宋体"/>
      <w:color w:val="174B8B"/>
      <w:kern w:val="0"/>
      <w:sz w:val="20"/>
    </w:rPr>
  </w:style>
  <w:style w:type="paragraph" w:customStyle="1" w:styleId="239">
    <w:name w:val="ih14"/>
    <w:basedOn w:val="1"/>
    <w:autoRedefine/>
    <w:qFormat/>
    <w:uiPriority w:val="0"/>
    <w:pPr>
      <w:widowControl/>
      <w:spacing w:before="100" w:beforeAutospacing="1" w:after="100" w:afterAutospacing="1"/>
      <w:jc w:val="left"/>
    </w:pPr>
    <w:rPr>
      <w:rFonts w:ascii="宋体" w:hAnsi="宋体" w:cs="宋体"/>
      <w:color w:val="0E0E0E"/>
      <w:kern w:val="0"/>
      <w:szCs w:val="21"/>
    </w:rPr>
  </w:style>
  <w:style w:type="paragraph" w:customStyle="1" w:styleId="240">
    <w:name w:val="ipadding1"/>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41">
    <w:name w:val="wskt_menu"/>
    <w:basedOn w:val="1"/>
    <w:autoRedefine/>
    <w:qFormat/>
    <w:uiPriority w:val="0"/>
    <w:pPr>
      <w:widowControl/>
      <w:spacing w:before="100" w:beforeAutospacing="1" w:after="100" w:afterAutospacing="1" w:line="240" w:lineRule="atLeast"/>
      <w:jc w:val="left"/>
    </w:pPr>
    <w:rPr>
      <w:rFonts w:ascii="宋体" w:hAnsi="宋体" w:cs="宋体"/>
      <w:color w:val="487A00"/>
      <w:kern w:val="0"/>
      <w:sz w:val="18"/>
      <w:szCs w:val="18"/>
    </w:rPr>
  </w:style>
  <w:style w:type="paragraph" w:customStyle="1" w:styleId="242">
    <w:name w:val="wskt_bord3a"/>
    <w:basedOn w:val="1"/>
    <w:autoRedefine/>
    <w:qFormat/>
    <w:uiPriority w:val="0"/>
    <w:pPr>
      <w:widowControl/>
      <w:pBdr>
        <w:left w:val="single" w:color="C9C9C9" w:sz="6" w:space="0"/>
        <w:bottom w:val="single" w:color="C9C9C9" w:sz="6" w:space="0"/>
        <w:right w:val="single" w:color="C9C9C9" w:sz="6" w:space="0"/>
      </w:pBdr>
      <w:spacing w:before="100" w:beforeAutospacing="1" w:after="100" w:afterAutospacing="1"/>
      <w:jc w:val="left"/>
    </w:pPr>
    <w:rPr>
      <w:rFonts w:ascii="宋体" w:hAnsi="宋体" w:cs="宋体"/>
      <w:kern w:val="0"/>
      <w:sz w:val="24"/>
      <w:szCs w:val="24"/>
    </w:rPr>
  </w:style>
  <w:style w:type="paragraph" w:customStyle="1" w:styleId="243">
    <w:name w:val="zmhd_bord1"/>
    <w:basedOn w:val="1"/>
    <w:autoRedefine/>
    <w:qFormat/>
    <w:uiPriority w:val="0"/>
    <w:pPr>
      <w:widowControl/>
      <w:pBdr>
        <w:top w:val="single" w:color="CFD9DE" w:sz="6" w:space="0"/>
        <w:left w:val="single" w:color="CFD9DE" w:sz="6" w:space="0"/>
        <w:bottom w:val="single" w:color="CFD9DE" w:sz="6" w:space="0"/>
        <w:right w:val="single" w:color="CFD9DE" w:sz="6" w:space="0"/>
      </w:pBdr>
      <w:spacing w:before="100" w:beforeAutospacing="1" w:after="100" w:afterAutospacing="1"/>
      <w:jc w:val="left"/>
    </w:pPr>
    <w:rPr>
      <w:rFonts w:ascii="宋体" w:hAnsi="宋体" w:cs="宋体"/>
      <w:kern w:val="0"/>
      <w:sz w:val="24"/>
      <w:szCs w:val="24"/>
    </w:rPr>
  </w:style>
  <w:style w:type="paragraph" w:customStyle="1" w:styleId="244">
    <w:name w:val="btn2"/>
    <w:basedOn w:val="1"/>
    <w:autoRedefine/>
    <w:qFormat/>
    <w:uiPriority w:val="0"/>
    <w:pPr>
      <w:widowControl/>
      <w:shd w:val="clear" w:color="auto" w:fill="ECE9D8"/>
      <w:spacing w:before="100" w:beforeAutospacing="1" w:after="100" w:afterAutospacing="1"/>
      <w:jc w:val="left"/>
    </w:pPr>
    <w:rPr>
      <w:rFonts w:ascii="宋体" w:hAnsi="宋体" w:cs="宋体"/>
      <w:kern w:val="0"/>
      <w:sz w:val="18"/>
      <w:szCs w:val="18"/>
    </w:rPr>
  </w:style>
  <w:style w:type="paragraph" w:customStyle="1" w:styleId="245">
    <w:name w:val="ih12"/>
    <w:basedOn w:val="1"/>
    <w:autoRedefine/>
    <w:qFormat/>
    <w:uiPriority w:val="0"/>
    <w:pPr>
      <w:widowControl/>
      <w:spacing w:before="100" w:beforeAutospacing="1" w:after="100" w:afterAutospacing="1"/>
      <w:jc w:val="left"/>
    </w:pPr>
    <w:rPr>
      <w:rFonts w:ascii="宋体" w:hAnsi="宋体" w:cs="宋体"/>
      <w:color w:val="2D2D2D"/>
      <w:kern w:val="0"/>
      <w:sz w:val="18"/>
      <w:szCs w:val="18"/>
    </w:rPr>
  </w:style>
  <w:style w:type="paragraph" w:customStyle="1" w:styleId="246">
    <w:name w:val="tdscsch"/>
    <w:basedOn w:val="1"/>
    <w:autoRedefine/>
    <w:qFormat/>
    <w:uiPriority w:val="0"/>
    <w:pPr>
      <w:widowControl/>
      <w:jc w:val="center"/>
    </w:pPr>
    <w:rPr>
      <w:rFonts w:ascii="宋体" w:hAnsi="宋体" w:cs="宋体"/>
      <w:b/>
      <w:bCs/>
      <w:color w:val="000000"/>
      <w:kern w:val="0"/>
      <w:sz w:val="20"/>
    </w:rPr>
  </w:style>
  <w:style w:type="paragraph" w:customStyle="1" w:styleId="247">
    <w:name w:val="纯文本1"/>
    <w:basedOn w:val="1"/>
    <w:autoRedefine/>
    <w:qFormat/>
    <w:uiPriority w:val="0"/>
    <w:rPr>
      <w:rFonts w:ascii="宋体" w:hAnsi="Courier New" w:cs="Courier New"/>
      <w:szCs w:val="21"/>
    </w:rPr>
  </w:style>
  <w:style w:type="paragraph" w:customStyle="1" w:styleId="248">
    <w:name w:val="Char3"/>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249">
    <w:name w:val="contentbox"/>
    <w:basedOn w:val="1"/>
    <w:autoRedefine/>
    <w:qFormat/>
    <w:uiPriority w:val="0"/>
    <w:pPr>
      <w:widowControl/>
      <w:spacing w:after="100" w:afterAutospacing="1"/>
      <w:jc w:val="left"/>
    </w:pPr>
    <w:rPr>
      <w:rFonts w:ascii="宋体" w:hAnsi="宋体" w:cs="宋体"/>
      <w:kern w:val="0"/>
      <w:sz w:val="24"/>
      <w:szCs w:val="24"/>
    </w:rPr>
  </w:style>
  <w:style w:type="paragraph" w:customStyle="1" w:styleId="250">
    <w:name w:val="zwgk_ldzc_leftmenu1"/>
    <w:basedOn w:val="1"/>
    <w:autoRedefine/>
    <w:qFormat/>
    <w:uiPriority w:val="0"/>
    <w:pPr>
      <w:widowControl/>
      <w:spacing w:before="100" w:beforeAutospacing="1" w:after="100" w:afterAutospacing="1" w:line="330" w:lineRule="atLeast"/>
      <w:jc w:val="left"/>
    </w:pPr>
    <w:rPr>
      <w:rFonts w:ascii="宋体" w:hAnsi="宋体" w:cs="宋体"/>
      <w:b/>
      <w:bCs/>
      <w:color w:val="CC0000"/>
      <w:kern w:val="0"/>
      <w:szCs w:val="21"/>
    </w:rPr>
  </w:style>
  <w:style w:type="paragraph" w:customStyle="1" w:styleId="251">
    <w:name w:val="xl45"/>
    <w:basedOn w:val="1"/>
    <w:autoRedefine/>
    <w:qFormat/>
    <w:uiPriority w:val="99"/>
    <w:pPr>
      <w:widowControl/>
      <w:spacing w:before="100" w:beforeAutospacing="1" w:after="100" w:afterAutospacing="1"/>
      <w:jc w:val="center"/>
    </w:pPr>
    <w:rPr>
      <w:rFonts w:ascii="Arial Unicode MS" w:hAnsi="Arial Unicode MS" w:eastAsia="Arial Unicode MS" w:cs="Arial Unicode MS"/>
      <w:b/>
      <w:bCs/>
      <w:kern w:val="0"/>
      <w:sz w:val="28"/>
      <w:szCs w:val="28"/>
    </w:rPr>
  </w:style>
  <w:style w:type="paragraph" w:customStyle="1" w:styleId="252">
    <w:name w:val="xl28"/>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方正楷体简体" w:hAnsi="宋体" w:eastAsia="方正楷体简体"/>
      <w:kern w:val="0"/>
      <w:sz w:val="24"/>
      <w:szCs w:val="24"/>
    </w:rPr>
  </w:style>
  <w:style w:type="paragraph" w:customStyle="1" w:styleId="253">
    <w:name w:val="spbb_bord3"/>
    <w:basedOn w:val="1"/>
    <w:autoRedefine/>
    <w:qFormat/>
    <w:uiPriority w:val="0"/>
    <w:pPr>
      <w:widowControl/>
      <w:pBdr>
        <w:left w:val="single" w:color="69B1DE" w:sz="6" w:space="0"/>
        <w:bottom w:val="single" w:color="69B1DE" w:sz="6" w:space="0"/>
        <w:right w:val="single" w:color="69B1DE" w:sz="6" w:space="0"/>
      </w:pBdr>
      <w:spacing w:before="100" w:beforeAutospacing="1" w:after="100" w:afterAutospacing="1"/>
      <w:jc w:val="left"/>
    </w:pPr>
    <w:rPr>
      <w:rFonts w:ascii="宋体" w:hAnsi="宋体" w:cs="宋体"/>
      <w:kern w:val="0"/>
      <w:sz w:val="24"/>
      <w:szCs w:val="24"/>
    </w:rPr>
  </w:style>
  <w:style w:type="paragraph" w:customStyle="1" w:styleId="254">
    <w:name w:val="ikqsc1"/>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55">
    <w:name w:val="样式3"/>
    <w:basedOn w:val="1"/>
    <w:autoRedefine/>
    <w:qFormat/>
    <w:uiPriority w:val="0"/>
    <w:pPr>
      <w:spacing w:line="360" w:lineRule="auto"/>
      <w:jc w:val="center"/>
    </w:pPr>
    <w:rPr>
      <w:rFonts w:ascii="宋体"/>
      <w:spacing w:val="6"/>
    </w:rPr>
  </w:style>
  <w:style w:type="paragraph" w:customStyle="1" w:styleId="256">
    <w:name w:val="font12"/>
    <w:basedOn w:val="1"/>
    <w:autoRedefine/>
    <w:qFormat/>
    <w:uiPriority w:val="0"/>
    <w:pPr>
      <w:widowControl/>
      <w:spacing w:before="100" w:beforeAutospacing="1" w:after="100" w:afterAutospacing="1" w:line="270" w:lineRule="atLeast"/>
      <w:jc w:val="left"/>
    </w:pPr>
    <w:rPr>
      <w:rFonts w:ascii="宋体" w:hAnsi="宋体" w:cs="宋体"/>
      <w:color w:val="000000"/>
      <w:kern w:val="0"/>
      <w:sz w:val="18"/>
      <w:szCs w:val="18"/>
    </w:rPr>
  </w:style>
  <w:style w:type="paragraph" w:customStyle="1" w:styleId="257">
    <w:name w:val="bord"/>
    <w:basedOn w:val="1"/>
    <w:autoRedefine/>
    <w:qFormat/>
    <w:uiPriority w:val="0"/>
    <w:pPr>
      <w:widowControl/>
      <w:pBdr>
        <w:top w:val="single" w:color="CCCCCC" w:sz="6" w:space="0"/>
        <w:left w:val="single" w:color="CCCCCC" w:sz="6" w:space="0"/>
        <w:bottom w:val="single" w:color="CCCCCC" w:sz="6" w:space="0"/>
        <w:right w:val="single" w:color="CCCCCC" w:sz="6" w:space="0"/>
      </w:pBdr>
      <w:spacing w:before="100" w:beforeAutospacing="1" w:after="100" w:afterAutospacing="1"/>
      <w:jc w:val="left"/>
    </w:pPr>
    <w:rPr>
      <w:rFonts w:ascii="宋体" w:hAnsi="宋体" w:cs="宋体"/>
      <w:kern w:val="0"/>
      <w:sz w:val="24"/>
      <w:szCs w:val="24"/>
    </w:rPr>
  </w:style>
  <w:style w:type="paragraph" w:customStyle="1" w:styleId="258">
    <w:name w:val="itdscgreen"/>
    <w:basedOn w:val="1"/>
    <w:autoRedefine/>
    <w:qFormat/>
    <w:uiPriority w:val="0"/>
    <w:pPr>
      <w:widowControl/>
      <w:spacing w:before="100" w:beforeAutospacing="1" w:after="100" w:afterAutospacing="1"/>
      <w:jc w:val="left"/>
    </w:pPr>
    <w:rPr>
      <w:rFonts w:ascii="宋体" w:hAnsi="宋体" w:cs="宋体"/>
      <w:color w:val="B0B0B0"/>
      <w:kern w:val="0"/>
      <w:sz w:val="20"/>
    </w:rPr>
  </w:style>
  <w:style w:type="paragraph" w:customStyle="1" w:styleId="259">
    <w:name w:val="bsfwtop"/>
    <w:basedOn w:val="1"/>
    <w:autoRedefine/>
    <w:qFormat/>
    <w:uiPriority w:val="0"/>
    <w:pPr>
      <w:widowControl/>
      <w:spacing w:before="100" w:beforeAutospacing="1" w:after="100" w:afterAutospacing="1"/>
      <w:jc w:val="left"/>
    </w:pPr>
    <w:rPr>
      <w:rFonts w:ascii="宋体" w:hAnsi="宋体" w:cs="宋体"/>
      <w:color w:val="6C8C0A"/>
      <w:kern w:val="0"/>
      <w:sz w:val="18"/>
      <w:szCs w:val="18"/>
    </w:rPr>
  </w:style>
  <w:style w:type="paragraph" w:customStyle="1" w:styleId="260">
    <w:name w:val="目录2"/>
    <w:basedOn w:val="4"/>
    <w:autoRedefine/>
    <w:qFormat/>
    <w:uiPriority w:val="0"/>
    <w:pPr>
      <w:keepLines w:val="0"/>
      <w:tabs>
        <w:tab w:val="left" w:pos="975"/>
      </w:tabs>
      <w:adjustRightInd w:val="0"/>
      <w:snapToGrid w:val="0"/>
      <w:spacing w:before="0" w:after="0" w:line="440" w:lineRule="exact"/>
      <w:ind w:firstLine="679" w:firstLineChars="200"/>
    </w:pPr>
    <w:rPr>
      <w:rFonts w:ascii="黑体" w:hAnsi="宋体"/>
      <w:spacing w:val="10"/>
      <w:sz w:val="30"/>
      <w:szCs w:val="30"/>
    </w:rPr>
  </w:style>
  <w:style w:type="paragraph" w:customStyle="1" w:styleId="261">
    <w:name w:val="p0"/>
    <w:basedOn w:val="1"/>
    <w:autoRedefine/>
    <w:qFormat/>
    <w:uiPriority w:val="0"/>
    <w:pPr>
      <w:widowControl/>
    </w:pPr>
    <w:rPr>
      <w:kern w:val="0"/>
      <w:szCs w:val="21"/>
    </w:rPr>
  </w:style>
  <w:style w:type="paragraph" w:customStyle="1" w:styleId="262">
    <w:name w:val="文章副标题"/>
    <w:basedOn w:val="1"/>
    <w:next w:val="208"/>
    <w:autoRedefine/>
    <w:qFormat/>
    <w:uiPriority w:val="0"/>
    <w:pPr>
      <w:widowControl/>
      <w:spacing w:before="187" w:after="175" w:line="374" w:lineRule="atLeast"/>
      <w:jc w:val="center"/>
      <w:textAlignment w:val="baseline"/>
    </w:pPr>
    <w:rPr>
      <w:color w:val="000000"/>
      <w:kern w:val="0"/>
      <w:sz w:val="36"/>
    </w:rPr>
  </w:style>
  <w:style w:type="paragraph" w:customStyle="1" w:styleId="263">
    <w:name w:val="title02"/>
    <w:basedOn w:val="1"/>
    <w:autoRedefine/>
    <w:qFormat/>
    <w:uiPriority w:val="0"/>
    <w:pPr>
      <w:widowControl/>
      <w:spacing w:before="100" w:beforeAutospacing="1" w:after="100" w:afterAutospacing="1"/>
      <w:jc w:val="left"/>
    </w:pPr>
    <w:rPr>
      <w:rFonts w:ascii="宋体" w:hAnsi="宋体" w:cs="宋体"/>
      <w:color w:val="993300"/>
      <w:kern w:val="0"/>
      <w:szCs w:val="21"/>
    </w:rPr>
  </w:style>
  <w:style w:type="paragraph" w:customStyle="1" w:styleId="264">
    <w:name w:val="Char"/>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265">
    <w:name w:val="more"/>
    <w:basedOn w:val="1"/>
    <w:autoRedefine/>
    <w:qFormat/>
    <w:uiPriority w:val="0"/>
    <w:pPr>
      <w:widowControl/>
      <w:spacing w:before="100" w:beforeAutospacing="1" w:after="100" w:afterAutospacing="1"/>
      <w:jc w:val="left"/>
    </w:pPr>
    <w:rPr>
      <w:rFonts w:ascii="宋体" w:hAnsi="宋体" w:cs="宋体"/>
      <w:color w:val="2577B7"/>
      <w:kern w:val="0"/>
      <w:sz w:val="18"/>
      <w:szCs w:val="18"/>
    </w:rPr>
  </w:style>
  <w:style w:type="paragraph" w:customStyle="1" w:styleId="266">
    <w:name w:val="ipadding2"/>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67">
    <w:name w:val="input"/>
    <w:basedOn w:val="1"/>
    <w:autoRedefine/>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268">
    <w:name w:val="kyqscblue14b"/>
    <w:basedOn w:val="1"/>
    <w:autoRedefine/>
    <w:qFormat/>
    <w:uiPriority w:val="0"/>
    <w:pPr>
      <w:widowControl/>
      <w:spacing w:before="100" w:beforeAutospacing="1" w:after="100" w:afterAutospacing="1"/>
      <w:jc w:val="left"/>
    </w:pPr>
    <w:rPr>
      <w:rFonts w:ascii="宋体" w:hAnsi="宋体" w:cs="宋体"/>
      <w:b/>
      <w:bCs/>
      <w:color w:val="1F6ED9"/>
      <w:kern w:val="0"/>
      <w:szCs w:val="21"/>
    </w:rPr>
  </w:style>
  <w:style w:type="paragraph" w:customStyle="1" w:styleId="269">
    <w:name w:val="ihych"/>
    <w:basedOn w:val="1"/>
    <w:autoRedefine/>
    <w:qFormat/>
    <w:uiPriority w:val="0"/>
    <w:pPr>
      <w:widowControl/>
      <w:spacing w:before="100" w:beforeAutospacing="1" w:after="100" w:afterAutospacing="1"/>
      <w:jc w:val="left"/>
    </w:pPr>
    <w:rPr>
      <w:rFonts w:ascii="宋体" w:hAnsi="宋体" w:cs="宋体"/>
      <w:color w:val="333333"/>
      <w:kern w:val="0"/>
      <w:sz w:val="20"/>
    </w:rPr>
  </w:style>
  <w:style w:type="paragraph" w:customStyle="1" w:styleId="270">
    <w:name w:val="flfg_font12"/>
    <w:basedOn w:val="1"/>
    <w:autoRedefine/>
    <w:qFormat/>
    <w:uiPriority w:val="0"/>
    <w:pPr>
      <w:widowControl/>
      <w:spacing w:before="100" w:beforeAutospacing="1" w:after="100" w:afterAutospacing="1" w:line="270" w:lineRule="atLeast"/>
      <w:jc w:val="left"/>
    </w:pPr>
    <w:rPr>
      <w:rFonts w:ascii="宋体" w:hAnsi="宋体" w:cs="宋体"/>
      <w:color w:val="333333"/>
      <w:kern w:val="0"/>
      <w:sz w:val="18"/>
      <w:szCs w:val="18"/>
    </w:rPr>
  </w:style>
  <w:style w:type="paragraph" w:customStyle="1" w:styleId="271">
    <w:name w:val="xxhw12"/>
    <w:basedOn w:val="1"/>
    <w:autoRedefine/>
    <w:qFormat/>
    <w:uiPriority w:val="0"/>
    <w:pPr>
      <w:widowControl/>
      <w:spacing w:before="100" w:beforeAutospacing="1" w:after="100" w:afterAutospacing="1"/>
      <w:jc w:val="left"/>
    </w:pPr>
    <w:rPr>
      <w:rFonts w:ascii="宋体" w:hAnsi="宋体" w:cs="宋体"/>
      <w:color w:val="FFFFFF"/>
      <w:kern w:val="0"/>
      <w:sz w:val="18"/>
      <w:szCs w:val="18"/>
    </w:rPr>
  </w:style>
  <w:style w:type="paragraph" w:customStyle="1" w:styleId="272">
    <w:name w:val="basfwhui12"/>
    <w:basedOn w:val="1"/>
    <w:autoRedefine/>
    <w:qFormat/>
    <w:uiPriority w:val="0"/>
    <w:pPr>
      <w:widowControl/>
      <w:spacing w:before="100" w:beforeAutospacing="1" w:after="100" w:afterAutospacing="1"/>
      <w:jc w:val="left"/>
    </w:pPr>
    <w:rPr>
      <w:rFonts w:ascii="宋体" w:hAnsi="宋体" w:cs="宋体"/>
      <w:color w:val="343434"/>
      <w:kern w:val="0"/>
      <w:sz w:val="18"/>
      <w:szCs w:val="18"/>
    </w:rPr>
  </w:style>
  <w:style w:type="paragraph" w:customStyle="1" w:styleId="273">
    <w:name w:val="wskt_link3"/>
    <w:basedOn w:val="1"/>
    <w:autoRedefine/>
    <w:qFormat/>
    <w:uiPriority w:val="0"/>
    <w:pPr>
      <w:widowControl/>
      <w:spacing w:before="100" w:beforeAutospacing="1" w:after="100" w:afterAutospacing="1" w:line="300" w:lineRule="atLeast"/>
      <w:jc w:val="left"/>
    </w:pPr>
    <w:rPr>
      <w:rFonts w:ascii="宋体" w:hAnsi="宋体" w:cs="宋体"/>
      <w:color w:val="333333"/>
      <w:kern w:val="0"/>
      <w:sz w:val="20"/>
    </w:rPr>
  </w:style>
  <w:style w:type="paragraph" w:customStyle="1" w:styleId="274">
    <w:name w:val="默认段落字体 Para Char Char Char Char Char Char Char"/>
    <w:basedOn w:val="1"/>
    <w:autoRedefine/>
    <w:qFormat/>
    <w:uiPriority w:val="0"/>
    <w:rPr>
      <w:rFonts w:eastAsia="Times New Roman"/>
      <w:kern w:val="0"/>
      <w:sz w:val="20"/>
      <w:szCs w:val="24"/>
    </w:rPr>
  </w:style>
  <w:style w:type="paragraph" w:customStyle="1" w:styleId="275">
    <w:name w:val="Char Char Char1 Char Char Char Char"/>
    <w:basedOn w:val="1"/>
    <w:autoRedefine/>
    <w:qFormat/>
    <w:uiPriority w:val="0"/>
    <w:pPr>
      <w:widowControl/>
      <w:jc w:val="left"/>
    </w:pPr>
    <w:rPr>
      <w:rFonts w:ascii="宋体" w:hAnsi="宋体" w:cs="Courier New"/>
      <w:kern w:val="0"/>
      <w:sz w:val="32"/>
      <w:szCs w:val="32"/>
    </w:rPr>
  </w:style>
  <w:style w:type="paragraph" w:customStyle="1" w:styleId="276">
    <w:name w:val="bordleft"/>
    <w:basedOn w:val="1"/>
    <w:autoRedefine/>
    <w:qFormat/>
    <w:uiPriority w:val="0"/>
    <w:pPr>
      <w:widowControl/>
      <w:pBdr>
        <w:left w:val="single" w:color="CCCCCC" w:sz="6" w:space="0"/>
      </w:pBdr>
      <w:spacing w:before="100" w:beforeAutospacing="1" w:after="100" w:afterAutospacing="1"/>
      <w:jc w:val="left"/>
    </w:pPr>
    <w:rPr>
      <w:rFonts w:ascii="宋体" w:hAnsi="宋体" w:cs="宋体"/>
      <w:kern w:val="0"/>
      <w:sz w:val="24"/>
      <w:szCs w:val="24"/>
    </w:rPr>
  </w:style>
  <w:style w:type="paragraph" w:customStyle="1" w:styleId="277">
    <w:name w:val="Char Char"/>
    <w:basedOn w:val="1"/>
    <w:autoRedefine/>
    <w:qFormat/>
    <w:uiPriority w:val="99"/>
  </w:style>
  <w:style w:type="paragraph" w:customStyle="1" w:styleId="278">
    <w:name w:val="文章总标题"/>
    <w:basedOn w:val="1"/>
    <w:next w:val="262"/>
    <w:autoRedefine/>
    <w:qFormat/>
    <w:uiPriority w:val="0"/>
    <w:pPr>
      <w:widowControl/>
      <w:spacing w:before="566" w:after="544" w:line="566" w:lineRule="atLeast"/>
      <w:jc w:val="center"/>
      <w:textAlignment w:val="baseline"/>
    </w:pPr>
    <w:rPr>
      <w:rFonts w:ascii="Arial" w:eastAsia="黑体"/>
      <w:color w:val="000000"/>
      <w:kern w:val="0"/>
      <w:sz w:val="54"/>
    </w:rPr>
  </w:style>
  <w:style w:type="paragraph" w:customStyle="1" w:styleId="279">
    <w:name w:val="xwdt_img_bord4b"/>
    <w:basedOn w:val="1"/>
    <w:autoRedefine/>
    <w:qFormat/>
    <w:uiPriority w:val="0"/>
    <w:pPr>
      <w:widowControl/>
      <w:pBdr>
        <w:top w:val="single" w:color="CCCCCC" w:sz="6" w:space="0"/>
        <w:left w:val="single" w:color="CCCCCC" w:sz="6" w:space="0"/>
        <w:bottom w:val="single" w:color="CCCCCC" w:sz="6" w:space="0"/>
        <w:right w:val="single" w:color="CCCCCC" w:sz="6" w:space="0"/>
      </w:pBdr>
      <w:spacing w:before="100" w:beforeAutospacing="1" w:after="100" w:afterAutospacing="1"/>
      <w:jc w:val="left"/>
    </w:pPr>
    <w:rPr>
      <w:rFonts w:ascii="宋体" w:hAnsi="宋体" w:cs="宋体"/>
      <w:kern w:val="0"/>
      <w:sz w:val="24"/>
      <w:szCs w:val="24"/>
    </w:rPr>
  </w:style>
  <w:style w:type="paragraph" w:customStyle="1" w:styleId="280">
    <w:name w:val="flfg_bord2"/>
    <w:basedOn w:val="1"/>
    <w:autoRedefine/>
    <w:qFormat/>
    <w:uiPriority w:val="0"/>
    <w:pPr>
      <w:widowControl/>
      <w:pBdr>
        <w:bottom w:val="single" w:color="E3F1FB" w:sz="6" w:space="0"/>
      </w:pBdr>
      <w:spacing w:before="100" w:beforeAutospacing="1" w:after="100" w:afterAutospacing="1"/>
      <w:jc w:val="left"/>
    </w:pPr>
    <w:rPr>
      <w:rFonts w:ascii="宋体" w:hAnsi="宋体" w:cs="宋体"/>
      <w:kern w:val="0"/>
      <w:sz w:val="24"/>
      <w:szCs w:val="24"/>
    </w:rPr>
  </w:style>
  <w:style w:type="paragraph" w:customStyle="1" w:styleId="281">
    <w:name w:val="目录1"/>
    <w:basedOn w:val="3"/>
    <w:autoRedefine/>
    <w:qFormat/>
    <w:uiPriority w:val="0"/>
    <w:pPr>
      <w:keepLines/>
      <w:spacing w:before="340" w:after="330" w:line="500" w:lineRule="exact"/>
    </w:pPr>
    <w:rPr>
      <w:rFonts w:ascii="黑体" w:eastAsia="黑体"/>
      <w:bCs/>
      <w:kern w:val="44"/>
      <w:sz w:val="36"/>
      <w:szCs w:val="36"/>
    </w:rPr>
  </w:style>
  <w:style w:type="paragraph" w:customStyle="1" w:styleId="282">
    <w:name w:val="zmhd_fff"/>
    <w:basedOn w:val="1"/>
    <w:autoRedefine/>
    <w:qFormat/>
    <w:uiPriority w:val="0"/>
    <w:pPr>
      <w:widowControl/>
      <w:spacing w:before="100" w:beforeAutospacing="1" w:after="100" w:afterAutospacing="1"/>
      <w:jc w:val="left"/>
    </w:pPr>
    <w:rPr>
      <w:rFonts w:ascii="宋体" w:hAnsi="宋体" w:cs="宋体"/>
      <w:color w:val="FFFFFF"/>
      <w:kern w:val="0"/>
      <w:sz w:val="18"/>
      <w:szCs w:val="18"/>
    </w:rPr>
  </w:style>
  <w:style w:type="paragraph" w:customStyle="1" w:styleId="283">
    <w:name w:val="wskt_more1"/>
    <w:basedOn w:val="1"/>
    <w:autoRedefine/>
    <w:qFormat/>
    <w:uiPriority w:val="0"/>
    <w:pPr>
      <w:widowControl/>
      <w:spacing w:before="100" w:beforeAutospacing="1" w:after="100" w:afterAutospacing="1" w:line="240" w:lineRule="atLeast"/>
      <w:jc w:val="left"/>
    </w:pPr>
    <w:rPr>
      <w:rFonts w:ascii="宋体" w:hAnsi="宋体" w:cs="宋体"/>
      <w:color w:val="333333"/>
      <w:kern w:val="0"/>
      <w:sz w:val="18"/>
      <w:szCs w:val="18"/>
    </w:rPr>
  </w:style>
  <w:style w:type="paragraph" w:customStyle="1" w:styleId="284">
    <w:name w:val="ipadding3"/>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85">
    <w:name w:val="itime12"/>
    <w:basedOn w:val="1"/>
    <w:autoRedefine/>
    <w:qFormat/>
    <w:uiPriority w:val="0"/>
    <w:pPr>
      <w:widowControl/>
      <w:spacing w:before="100" w:beforeAutospacing="1" w:after="100" w:afterAutospacing="1"/>
      <w:jc w:val="left"/>
    </w:pPr>
    <w:rPr>
      <w:rFonts w:ascii="宋体" w:hAnsi="宋体" w:cs="宋体"/>
      <w:color w:val="6E6E6E"/>
      <w:kern w:val="0"/>
      <w:sz w:val="18"/>
      <w:szCs w:val="18"/>
    </w:rPr>
  </w:style>
  <w:style w:type="paragraph" w:customStyle="1" w:styleId="286">
    <w:name w:val="link6"/>
    <w:basedOn w:val="1"/>
    <w:autoRedefine/>
    <w:qFormat/>
    <w:uiPriority w:val="0"/>
    <w:pPr>
      <w:widowControl/>
      <w:spacing w:before="100" w:beforeAutospacing="1" w:after="100" w:afterAutospacing="1"/>
      <w:jc w:val="left"/>
    </w:pPr>
    <w:rPr>
      <w:rFonts w:ascii="宋体" w:hAnsi="宋体" w:cs="宋体"/>
      <w:color w:val="990000"/>
      <w:kern w:val="0"/>
      <w:sz w:val="18"/>
      <w:szCs w:val="18"/>
    </w:rPr>
  </w:style>
  <w:style w:type="paragraph" w:customStyle="1" w:styleId="287">
    <w:name w:val="spbb_bord1"/>
    <w:basedOn w:val="1"/>
    <w:autoRedefine/>
    <w:qFormat/>
    <w:uiPriority w:val="0"/>
    <w:pPr>
      <w:widowControl/>
      <w:pBdr>
        <w:left w:val="single" w:color="DDECF5" w:sz="6" w:space="0"/>
        <w:bottom w:val="single" w:color="DDECF5" w:sz="6" w:space="0"/>
        <w:right w:val="single" w:color="DDECF5" w:sz="6" w:space="0"/>
      </w:pBdr>
      <w:spacing w:before="100" w:beforeAutospacing="1" w:after="100" w:afterAutospacing="1"/>
      <w:jc w:val="left"/>
    </w:pPr>
    <w:rPr>
      <w:rFonts w:ascii="宋体" w:hAnsi="宋体" w:cs="宋体"/>
      <w:kern w:val="0"/>
      <w:sz w:val="24"/>
      <w:szCs w:val="24"/>
    </w:rPr>
  </w:style>
  <w:style w:type="paragraph" w:customStyle="1" w:styleId="288">
    <w:name w:val="link1"/>
    <w:basedOn w:val="1"/>
    <w:autoRedefine/>
    <w:qFormat/>
    <w:uiPriority w:val="0"/>
    <w:pPr>
      <w:widowControl/>
      <w:spacing w:before="100" w:beforeAutospacing="1" w:after="100" w:afterAutospacing="1" w:line="270" w:lineRule="atLeast"/>
      <w:jc w:val="left"/>
    </w:pPr>
    <w:rPr>
      <w:rFonts w:ascii="宋体" w:hAnsi="宋体" w:cs="宋体"/>
      <w:color w:val="003366"/>
      <w:kern w:val="0"/>
      <w:sz w:val="18"/>
      <w:szCs w:val="18"/>
    </w:rPr>
  </w:style>
  <w:style w:type="paragraph" w:customStyle="1" w:styleId="289">
    <w:name w:val="Char Char Char"/>
    <w:basedOn w:val="1"/>
    <w:autoRedefine/>
    <w:qFormat/>
    <w:uiPriority w:val="0"/>
    <w:pPr>
      <w:widowControl/>
      <w:autoSpaceDN w:val="0"/>
      <w:spacing w:after="160" w:line="240" w:lineRule="exact"/>
      <w:jc w:val="left"/>
    </w:pPr>
    <w:rPr>
      <w:rFonts w:ascii="仿宋_GB2312" w:hAnsi="宋体" w:eastAsia="仿宋_GB2312" w:cs="宋体"/>
      <w:szCs w:val="24"/>
    </w:rPr>
  </w:style>
  <w:style w:type="paragraph" w:customStyle="1" w:styleId="290">
    <w:name w:val="basfwhui14b"/>
    <w:basedOn w:val="1"/>
    <w:autoRedefine/>
    <w:qFormat/>
    <w:uiPriority w:val="0"/>
    <w:pPr>
      <w:widowControl/>
      <w:spacing w:before="100" w:beforeAutospacing="1" w:after="100" w:afterAutospacing="1"/>
      <w:jc w:val="left"/>
    </w:pPr>
    <w:rPr>
      <w:rFonts w:ascii="宋体" w:hAnsi="宋体" w:cs="宋体"/>
      <w:b/>
      <w:bCs/>
      <w:color w:val="343434"/>
      <w:kern w:val="0"/>
      <w:szCs w:val="21"/>
    </w:rPr>
  </w:style>
  <w:style w:type="paragraph" w:customStyle="1" w:styleId="291">
    <w:name w:val="igreen12"/>
    <w:basedOn w:val="1"/>
    <w:autoRedefine/>
    <w:qFormat/>
    <w:uiPriority w:val="0"/>
    <w:pPr>
      <w:widowControl/>
      <w:spacing w:before="100" w:beforeAutospacing="1" w:after="100" w:afterAutospacing="1"/>
      <w:jc w:val="left"/>
    </w:pPr>
    <w:rPr>
      <w:rFonts w:ascii="宋体" w:hAnsi="宋体" w:cs="宋体"/>
      <w:color w:val="297A17"/>
      <w:kern w:val="0"/>
      <w:sz w:val="18"/>
      <w:szCs w:val="18"/>
    </w:rPr>
  </w:style>
  <w:style w:type="paragraph" w:customStyle="1" w:styleId="292">
    <w:name w:val="title01"/>
    <w:basedOn w:val="1"/>
    <w:autoRedefine/>
    <w:qFormat/>
    <w:uiPriority w:val="0"/>
    <w:pPr>
      <w:widowControl/>
      <w:spacing w:before="100" w:beforeAutospacing="1" w:after="100" w:afterAutospacing="1"/>
      <w:jc w:val="left"/>
    </w:pPr>
    <w:rPr>
      <w:rFonts w:ascii="宋体" w:hAnsi="宋体" w:cs="宋体"/>
      <w:color w:val="003399"/>
      <w:kern w:val="0"/>
      <w:szCs w:val="21"/>
    </w:rPr>
  </w:style>
  <w:style w:type="paragraph" w:customStyle="1" w:styleId="293">
    <w:name w:val="spbb_bord3a"/>
    <w:basedOn w:val="1"/>
    <w:autoRedefine/>
    <w:qFormat/>
    <w:uiPriority w:val="0"/>
    <w:pPr>
      <w:widowControl/>
      <w:pBdr>
        <w:left w:val="single" w:color="7D7559" w:sz="6" w:space="0"/>
        <w:bottom w:val="single" w:color="7D7559" w:sz="6" w:space="0"/>
        <w:right w:val="single" w:color="7D7559" w:sz="6" w:space="0"/>
      </w:pBdr>
      <w:spacing w:before="100" w:beforeAutospacing="1" w:after="100" w:afterAutospacing="1"/>
      <w:jc w:val="left"/>
    </w:pPr>
    <w:rPr>
      <w:rFonts w:ascii="宋体" w:hAnsi="宋体" w:cs="宋体"/>
      <w:kern w:val="0"/>
      <w:sz w:val="24"/>
      <w:szCs w:val="24"/>
    </w:rPr>
  </w:style>
  <w:style w:type="paragraph" w:customStyle="1" w:styleId="294">
    <w:name w:val="bord3b1"/>
    <w:basedOn w:val="1"/>
    <w:autoRedefine/>
    <w:qFormat/>
    <w:uiPriority w:val="0"/>
    <w:pPr>
      <w:widowControl/>
      <w:pBdr>
        <w:left w:val="single" w:color="D2E2E7" w:sz="6" w:space="0"/>
        <w:bottom w:val="single" w:color="D2E2E7" w:sz="6" w:space="0"/>
        <w:right w:val="single" w:color="D2E2E7" w:sz="6" w:space="0"/>
      </w:pBdr>
      <w:spacing w:before="100" w:beforeAutospacing="1" w:after="100" w:afterAutospacing="1"/>
      <w:jc w:val="left"/>
    </w:pPr>
    <w:rPr>
      <w:rFonts w:ascii="宋体" w:hAnsi="宋体" w:cs="宋体"/>
      <w:kern w:val="0"/>
      <w:sz w:val="24"/>
      <w:szCs w:val="24"/>
    </w:rPr>
  </w:style>
  <w:style w:type="paragraph" w:customStyle="1" w:styleId="295">
    <w:name w:val="spbb_link2"/>
    <w:basedOn w:val="1"/>
    <w:autoRedefine/>
    <w:qFormat/>
    <w:uiPriority w:val="0"/>
    <w:pPr>
      <w:widowControl/>
      <w:spacing w:before="100" w:beforeAutospacing="1" w:after="100" w:afterAutospacing="1" w:line="300" w:lineRule="atLeast"/>
      <w:jc w:val="left"/>
    </w:pPr>
    <w:rPr>
      <w:rFonts w:ascii="宋体" w:hAnsi="宋体" w:cs="宋体"/>
      <w:color w:val="45A1D1"/>
      <w:kern w:val="0"/>
      <w:szCs w:val="21"/>
    </w:rPr>
  </w:style>
  <w:style w:type="paragraph" w:customStyle="1" w:styleId="296">
    <w:name w:val="1"/>
    <w:basedOn w:val="1"/>
    <w:next w:val="26"/>
    <w:autoRedefine/>
    <w:qFormat/>
    <w:uiPriority w:val="0"/>
    <w:pPr>
      <w:adjustRightInd w:val="0"/>
      <w:spacing w:line="360" w:lineRule="auto"/>
      <w:ind w:firstLine="600"/>
      <w:textAlignment w:val="baseline"/>
    </w:pPr>
    <w:rPr>
      <w:kern w:val="0"/>
      <w:sz w:val="28"/>
    </w:rPr>
  </w:style>
  <w:style w:type="paragraph" w:customStyle="1" w:styleId="297">
    <w:name w:val="spbb_bord"/>
    <w:basedOn w:val="1"/>
    <w:autoRedefine/>
    <w:qFormat/>
    <w:uiPriority w:val="0"/>
    <w:pPr>
      <w:widowControl/>
      <w:pBdr>
        <w:left w:val="single" w:color="CFC9BB" w:sz="6" w:space="0"/>
        <w:bottom w:val="single" w:color="CFC9BB" w:sz="6" w:space="0"/>
        <w:right w:val="single" w:color="CFC9BB" w:sz="6" w:space="0"/>
      </w:pBdr>
      <w:spacing w:before="100" w:beforeAutospacing="1" w:after="100" w:afterAutospacing="1"/>
      <w:jc w:val="left"/>
    </w:pPr>
    <w:rPr>
      <w:rFonts w:ascii="宋体" w:hAnsi="宋体" w:cs="宋体"/>
      <w:kern w:val="0"/>
      <w:sz w:val="24"/>
      <w:szCs w:val="24"/>
    </w:rPr>
  </w:style>
  <w:style w:type="paragraph" w:customStyle="1" w:styleId="298">
    <w:name w:val="xxhtop"/>
    <w:basedOn w:val="1"/>
    <w:autoRedefine/>
    <w:qFormat/>
    <w:uiPriority w:val="0"/>
    <w:pPr>
      <w:widowControl/>
      <w:spacing w:before="100" w:beforeAutospacing="1" w:after="100" w:afterAutospacing="1"/>
      <w:jc w:val="left"/>
    </w:pPr>
    <w:rPr>
      <w:rFonts w:ascii="宋体" w:hAnsi="宋体" w:cs="宋体"/>
      <w:color w:val="0269AB"/>
      <w:kern w:val="0"/>
      <w:sz w:val="18"/>
      <w:szCs w:val="18"/>
    </w:rPr>
  </w:style>
  <w:style w:type="paragraph" w:customStyle="1" w:styleId="299">
    <w:name w:val="dzzh_font"/>
    <w:basedOn w:val="1"/>
    <w:autoRedefine/>
    <w:qFormat/>
    <w:uiPriority w:val="0"/>
    <w:pPr>
      <w:widowControl/>
      <w:spacing w:before="100" w:beforeAutospacing="1" w:after="100" w:afterAutospacing="1"/>
      <w:jc w:val="left"/>
    </w:pPr>
    <w:rPr>
      <w:rFonts w:ascii="宋体" w:hAnsi="宋体" w:cs="宋体"/>
      <w:b/>
      <w:bCs/>
      <w:color w:val="FFFFFF"/>
      <w:kern w:val="0"/>
      <w:sz w:val="23"/>
      <w:szCs w:val="23"/>
    </w:rPr>
  </w:style>
  <w:style w:type="paragraph" w:customStyle="1" w:styleId="300">
    <w:name w:val="flfg_link1"/>
    <w:basedOn w:val="1"/>
    <w:autoRedefine/>
    <w:qFormat/>
    <w:uiPriority w:val="0"/>
    <w:pPr>
      <w:widowControl/>
      <w:spacing w:before="100" w:beforeAutospacing="1" w:after="100" w:afterAutospacing="1" w:line="270" w:lineRule="atLeast"/>
      <w:jc w:val="left"/>
    </w:pPr>
    <w:rPr>
      <w:rFonts w:ascii="宋体" w:hAnsi="宋体" w:cs="宋体"/>
      <w:color w:val="0066FF"/>
      <w:kern w:val="0"/>
      <w:szCs w:val="21"/>
    </w:rPr>
  </w:style>
  <w:style w:type="paragraph" w:customStyle="1" w:styleId="301">
    <w:name w:val="ilinkdiv"/>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302">
    <w:name w:val="zwdt"/>
    <w:basedOn w:val="1"/>
    <w:autoRedefine/>
    <w:qFormat/>
    <w:uiPriority w:val="0"/>
    <w:pPr>
      <w:widowControl/>
      <w:spacing w:before="100" w:beforeAutospacing="1" w:after="100" w:afterAutospacing="1"/>
      <w:jc w:val="left"/>
    </w:pPr>
    <w:rPr>
      <w:rFonts w:ascii="宋体" w:hAnsi="宋体" w:cs="宋体"/>
      <w:color w:val="D01919"/>
      <w:kern w:val="0"/>
      <w:sz w:val="18"/>
      <w:szCs w:val="18"/>
    </w:rPr>
  </w:style>
  <w:style w:type="paragraph" w:customStyle="1" w:styleId="303">
    <w:name w:val="news_bord"/>
    <w:basedOn w:val="1"/>
    <w:autoRedefine/>
    <w:qFormat/>
    <w:uiPriority w:val="0"/>
    <w:pPr>
      <w:widowControl/>
      <w:pBdr>
        <w:right w:val="single" w:color="CDDDEA" w:sz="6" w:space="0"/>
      </w:pBdr>
      <w:spacing w:before="100" w:beforeAutospacing="1" w:after="100" w:afterAutospacing="1"/>
      <w:jc w:val="left"/>
    </w:pPr>
    <w:rPr>
      <w:rFonts w:ascii="宋体" w:hAnsi="宋体" w:cs="宋体"/>
      <w:kern w:val="0"/>
      <w:sz w:val="24"/>
      <w:szCs w:val="24"/>
    </w:rPr>
  </w:style>
  <w:style w:type="paragraph" w:customStyle="1" w:styleId="304">
    <w:name w:val="xxhmore12"/>
    <w:basedOn w:val="1"/>
    <w:autoRedefine/>
    <w:qFormat/>
    <w:uiPriority w:val="0"/>
    <w:pPr>
      <w:widowControl/>
      <w:spacing w:before="100" w:beforeAutospacing="1" w:after="100" w:afterAutospacing="1"/>
      <w:jc w:val="left"/>
    </w:pPr>
    <w:rPr>
      <w:rFonts w:ascii="宋体" w:hAnsi="宋体" w:cs="宋体"/>
      <w:color w:val="4A4A4A"/>
      <w:kern w:val="0"/>
      <w:sz w:val="18"/>
      <w:szCs w:val="18"/>
    </w:rPr>
  </w:style>
  <w:style w:type="paragraph" w:customStyle="1" w:styleId="305">
    <w:name w:val="ldzc_name"/>
    <w:basedOn w:val="1"/>
    <w:autoRedefine/>
    <w:qFormat/>
    <w:uiPriority w:val="0"/>
    <w:pPr>
      <w:widowControl/>
      <w:spacing w:before="100" w:beforeAutospacing="1" w:after="100" w:afterAutospacing="1"/>
      <w:jc w:val="left"/>
    </w:pPr>
    <w:rPr>
      <w:rFonts w:ascii="宋体" w:hAnsi="宋体" w:cs="宋体"/>
      <w:b/>
      <w:bCs/>
      <w:color w:val="CC0000"/>
      <w:kern w:val="0"/>
      <w:sz w:val="27"/>
      <w:szCs w:val="27"/>
    </w:rPr>
  </w:style>
  <w:style w:type="paragraph" w:customStyle="1" w:styleId="306">
    <w:name w:val="bordtop"/>
    <w:basedOn w:val="1"/>
    <w:autoRedefine/>
    <w:qFormat/>
    <w:uiPriority w:val="0"/>
    <w:pPr>
      <w:widowControl/>
      <w:pBdr>
        <w:top w:val="single" w:color="CCCCCC" w:sz="6" w:space="0"/>
      </w:pBdr>
      <w:spacing w:before="100" w:beforeAutospacing="1" w:after="100" w:afterAutospacing="1"/>
      <w:jc w:val="left"/>
    </w:pPr>
    <w:rPr>
      <w:rFonts w:ascii="宋体" w:hAnsi="宋体" w:cs="宋体"/>
      <w:kern w:val="0"/>
      <w:sz w:val="24"/>
      <w:szCs w:val="24"/>
    </w:rPr>
  </w:style>
  <w:style w:type="paragraph" w:customStyle="1" w:styleId="307">
    <w:name w:val="blue12"/>
    <w:basedOn w:val="1"/>
    <w:autoRedefine/>
    <w:qFormat/>
    <w:uiPriority w:val="0"/>
    <w:pPr>
      <w:widowControl/>
      <w:spacing w:before="100" w:beforeAutospacing="1" w:after="100" w:afterAutospacing="1"/>
      <w:jc w:val="left"/>
    </w:pPr>
    <w:rPr>
      <w:rFonts w:ascii="宋体" w:hAnsi="宋体" w:cs="宋体"/>
      <w:color w:val="075CA4"/>
      <w:kern w:val="0"/>
      <w:sz w:val="18"/>
      <w:szCs w:val="18"/>
    </w:rPr>
  </w:style>
  <w:style w:type="paragraph" w:customStyle="1" w:styleId="308">
    <w:name w:val="iw13b"/>
    <w:basedOn w:val="1"/>
    <w:autoRedefine/>
    <w:qFormat/>
    <w:uiPriority w:val="0"/>
    <w:pPr>
      <w:widowControl/>
      <w:spacing w:before="100" w:beforeAutospacing="1" w:after="100" w:afterAutospacing="1"/>
      <w:jc w:val="left"/>
    </w:pPr>
    <w:rPr>
      <w:rFonts w:ascii="宋体" w:hAnsi="宋体" w:cs="宋体"/>
      <w:color w:val="FFFFFF"/>
      <w:kern w:val="0"/>
      <w:sz w:val="20"/>
    </w:rPr>
  </w:style>
  <w:style w:type="paragraph" w:customStyle="1" w:styleId="309">
    <w:name w:val="flfg_bord1"/>
    <w:basedOn w:val="1"/>
    <w:autoRedefine/>
    <w:qFormat/>
    <w:uiPriority w:val="0"/>
    <w:pPr>
      <w:widowControl/>
      <w:pBdr>
        <w:bottom w:val="single" w:color="E3F1FB" w:sz="6" w:space="0"/>
        <w:right w:val="single" w:color="E3F1FB" w:sz="6" w:space="0"/>
      </w:pBdr>
      <w:spacing w:before="100" w:beforeAutospacing="1" w:after="100" w:afterAutospacing="1"/>
      <w:jc w:val="left"/>
    </w:pPr>
    <w:rPr>
      <w:rFonts w:ascii="宋体" w:hAnsi="宋体" w:cs="宋体"/>
      <w:kern w:val="0"/>
      <w:sz w:val="24"/>
      <w:szCs w:val="24"/>
    </w:rPr>
  </w:style>
  <w:style w:type="paragraph" w:customStyle="1" w:styleId="310">
    <w:name w:val="link7"/>
    <w:basedOn w:val="1"/>
    <w:autoRedefine/>
    <w:qFormat/>
    <w:uiPriority w:val="0"/>
    <w:pPr>
      <w:widowControl/>
      <w:spacing w:before="100" w:beforeAutospacing="1" w:after="100" w:afterAutospacing="1" w:line="270" w:lineRule="atLeast"/>
      <w:jc w:val="left"/>
    </w:pPr>
    <w:rPr>
      <w:rFonts w:ascii="宋体" w:hAnsi="宋体" w:cs="宋体"/>
      <w:color w:val="666666"/>
      <w:kern w:val="0"/>
      <w:sz w:val="18"/>
      <w:szCs w:val="18"/>
    </w:rPr>
  </w:style>
  <w:style w:type="paragraph" w:customStyle="1" w:styleId="311">
    <w:name w:val="iblue16b"/>
    <w:basedOn w:val="1"/>
    <w:autoRedefine/>
    <w:qFormat/>
    <w:uiPriority w:val="0"/>
    <w:pPr>
      <w:widowControl/>
      <w:spacing w:before="100" w:beforeAutospacing="1" w:after="100" w:afterAutospacing="1"/>
      <w:jc w:val="left"/>
    </w:pPr>
    <w:rPr>
      <w:rFonts w:ascii="宋体" w:hAnsi="宋体" w:cs="宋体"/>
      <w:color w:val="0953C2"/>
      <w:kern w:val="0"/>
      <w:sz w:val="23"/>
      <w:szCs w:val="23"/>
    </w:rPr>
  </w:style>
  <w:style w:type="paragraph" w:customStyle="1" w:styleId="312">
    <w:name w:val="Char1 Char Char Char"/>
    <w:basedOn w:val="1"/>
    <w:autoRedefine/>
    <w:qFormat/>
    <w:uiPriority w:val="0"/>
  </w:style>
  <w:style w:type="paragraph" w:customStyle="1" w:styleId="313">
    <w:name w:val="tssc13txt"/>
    <w:basedOn w:val="1"/>
    <w:autoRedefine/>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314">
    <w:name w:val="location"/>
    <w:basedOn w:val="1"/>
    <w:autoRedefine/>
    <w:qFormat/>
    <w:uiPriority w:val="0"/>
    <w:pPr>
      <w:widowControl/>
      <w:spacing w:before="100" w:beforeAutospacing="1" w:after="100" w:afterAutospacing="1"/>
      <w:jc w:val="left"/>
    </w:pPr>
    <w:rPr>
      <w:rFonts w:ascii="宋体" w:hAnsi="宋体" w:cs="宋体"/>
      <w:color w:val="003366"/>
      <w:kern w:val="0"/>
      <w:sz w:val="18"/>
      <w:szCs w:val="18"/>
    </w:rPr>
  </w:style>
  <w:style w:type="paragraph" w:customStyle="1" w:styleId="315">
    <w:name w:val="trs_editor"/>
    <w:basedOn w:val="1"/>
    <w:autoRedefine/>
    <w:qFormat/>
    <w:uiPriority w:val="0"/>
    <w:pPr>
      <w:widowControl/>
      <w:spacing w:before="100" w:beforeAutospacing="1" w:after="100" w:afterAutospacing="1"/>
      <w:jc w:val="left"/>
    </w:pPr>
    <w:rPr>
      <w:rFonts w:ascii="宋体" w:hAnsi="宋体" w:cs="宋体"/>
      <w:kern w:val="0"/>
      <w:szCs w:val="21"/>
    </w:rPr>
  </w:style>
  <w:style w:type="paragraph" w:customStyle="1" w:styleId="316">
    <w:name w:val="ittli"/>
    <w:basedOn w:val="1"/>
    <w:autoRedefine/>
    <w:qFormat/>
    <w:uiPriority w:val="0"/>
    <w:pPr>
      <w:widowControl/>
      <w:spacing w:before="100" w:beforeAutospacing="1" w:after="100" w:afterAutospacing="1"/>
      <w:jc w:val="left"/>
    </w:pPr>
    <w:rPr>
      <w:rFonts w:ascii="宋体" w:hAnsi="宋体" w:cs="宋体"/>
      <w:color w:val="0953C2"/>
      <w:kern w:val="0"/>
      <w:sz w:val="18"/>
      <w:szCs w:val="18"/>
    </w:rPr>
  </w:style>
  <w:style w:type="paragraph" w:customStyle="1" w:styleId="317">
    <w:name w:val="spbb_bord4b"/>
    <w:basedOn w:val="1"/>
    <w:autoRedefine/>
    <w:qFormat/>
    <w:uiPriority w:val="0"/>
    <w:pPr>
      <w:widowControl/>
      <w:pBdr>
        <w:top w:val="single" w:color="EEEAEA" w:sz="6" w:space="0"/>
        <w:left w:val="single" w:color="EEEAEA" w:sz="6" w:space="0"/>
        <w:bottom w:val="single" w:color="EEEAEA" w:sz="6" w:space="0"/>
        <w:right w:val="single" w:color="EEEAEA" w:sz="6" w:space="0"/>
      </w:pBdr>
      <w:spacing w:before="100" w:beforeAutospacing="1" w:after="100" w:afterAutospacing="1"/>
      <w:jc w:val="left"/>
    </w:pPr>
    <w:rPr>
      <w:rFonts w:ascii="宋体" w:hAnsi="宋体" w:cs="宋体"/>
      <w:kern w:val="0"/>
      <w:sz w:val="24"/>
      <w:szCs w:val="24"/>
    </w:rPr>
  </w:style>
  <w:style w:type="paragraph" w:customStyle="1" w:styleId="318">
    <w:name w:val="font14widthnew"/>
    <w:basedOn w:val="1"/>
    <w:autoRedefine/>
    <w:qFormat/>
    <w:uiPriority w:val="0"/>
    <w:pPr>
      <w:widowControl/>
      <w:spacing w:before="100" w:beforeAutospacing="1" w:after="100" w:afterAutospacing="1"/>
      <w:jc w:val="left"/>
    </w:pPr>
    <w:rPr>
      <w:rFonts w:ascii="宋体" w:hAnsi="宋体" w:cs="宋体"/>
      <w:b/>
      <w:bCs/>
      <w:color w:val="A11414"/>
      <w:kern w:val="0"/>
      <w:szCs w:val="21"/>
    </w:rPr>
  </w:style>
  <w:style w:type="paragraph" w:customStyle="1" w:styleId="319">
    <w:name w:val="报告封面"/>
    <w:basedOn w:val="1"/>
    <w:autoRedefine/>
    <w:qFormat/>
    <w:uiPriority w:val="0"/>
    <w:pPr>
      <w:widowControl/>
      <w:spacing w:line="351" w:lineRule="atLeast"/>
      <w:ind w:firstLine="419"/>
      <w:textAlignment w:val="baseline"/>
    </w:pPr>
    <w:rPr>
      <w:color w:val="000000"/>
      <w:kern w:val="0"/>
      <w:sz w:val="54"/>
    </w:rPr>
  </w:style>
  <w:style w:type="paragraph" w:customStyle="1" w:styleId="320">
    <w:name w:val="目录标题"/>
    <w:basedOn w:val="1"/>
    <w:next w:val="1"/>
    <w:autoRedefine/>
    <w:qFormat/>
    <w:uiPriority w:val="0"/>
    <w:pPr>
      <w:widowControl/>
      <w:spacing w:before="215" w:after="419" w:line="436" w:lineRule="atLeast"/>
      <w:ind w:firstLine="419"/>
      <w:jc w:val="center"/>
      <w:textAlignment w:val="baseline"/>
    </w:pPr>
    <w:rPr>
      <w:rFonts w:ascii="Arial" w:eastAsia="黑体"/>
      <w:color w:val="000000"/>
      <w:spacing w:val="283"/>
      <w:kern w:val="0"/>
      <w:sz w:val="42"/>
    </w:rPr>
  </w:style>
  <w:style w:type="paragraph" w:customStyle="1" w:styleId="321">
    <w:name w:val="目录4"/>
    <w:basedOn w:val="1"/>
    <w:next w:val="1"/>
    <w:autoRedefine/>
    <w:qFormat/>
    <w:uiPriority w:val="0"/>
    <w:pPr>
      <w:widowControl/>
      <w:tabs>
        <w:tab w:val="left" w:leader="dot" w:pos="8503"/>
      </w:tabs>
      <w:spacing w:line="317" w:lineRule="atLeast"/>
      <w:ind w:left="419" w:firstLine="629"/>
      <w:textAlignment w:val="baseline"/>
    </w:pPr>
    <w:rPr>
      <w:color w:val="000000"/>
      <w:kern w:val="0"/>
    </w:rPr>
  </w:style>
  <w:style w:type="paragraph" w:customStyle="1" w:styleId="322">
    <w:name w:val="目录3"/>
    <w:basedOn w:val="1"/>
    <w:next w:val="1"/>
    <w:autoRedefine/>
    <w:qFormat/>
    <w:uiPriority w:val="0"/>
    <w:pPr>
      <w:widowControl/>
      <w:tabs>
        <w:tab w:val="left" w:leader="dot" w:pos="8503"/>
      </w:tabs>
      <w:spacing w:line="317" w:lineRule="atLeast"/>
      <w:ind w:left="419" w:firstLine="419"/>
      <w:textAlignment w:val="baseline"/>
    </w:pPr>
    <w:rPr>
      <w:color w:val="000000"/>
      <w:kern w:val="0"/>
    </w:rPr>
  </w:style>
  <w:style w:type="paragraph" w:customStyle="1" w:styleId="323">
    <w:name w:val="xl30"/>
    <w:basedOn w:val="1"/>
    <w:autoRedefine/>
    <w:qFormat/>
    <w:uiPriority w:val="0"/>
    <w:pPr>
      <w:widowControl/>
      <w:spacing w:before="100" w:beforeAutospacing="1" w:after="100" w:afterAutospacing="1"/>
      <w:jc w:val="center"/>
      <w:textAlignment w:val="center"/>
    </w:pPr>
    <w:rPr>
      <w:rFonts w:ascii="宋体" w:hAnsi="宋体"/>
      <w:kern w:val="0"/>
      <w:sz w:val="24"/>
      <w:szCs w:val="24"/>
    </w:rPr>
  </w:style>
  <w:style w:type="paragraph" w:customStyle="1" w:styleId="324">
    <w:name w:val="_Style 30"/>
    <w:basedOn w:val="1"/>
    <w:autoRedefine/>
    <w:qFormat/>
    <w:uiPriority w:val="0"/>
    <w:rPr>
      <w:rFonts w:ascii="Tahoma" w:hAnsi="Tahoma"/>
      <w:sz w:val="24"/>
    </w:rPr>
  </w:style>
  <w:style w:type="paragraph" w:customStyle="1" w:styleId="325">
    <w:name w:val="列出段落2"/>
    <w:basedOn w:val="1"/>
    <w:autoRedefine/>
    <w:unhideWhenUsed/>
    <w:qFormat/>
    <w:uiPriority w:val="99"/>
    <w:pPr>
      <w:ind w:firstLine="420" w:firstLineChars="200"/>
    </w:pPr>
  </w:style>
  <w:style w:type="character" w:customStyle="1" w:styleId="326">
    <w:name w:val="font91"/>
    <w:basedOn w:val="47"/>
    <w:autoRedefine/>
    <w:qFormat/>
    <w:uiPriority w:val="0"/>
    <w:rPr>
      <w:rFonts w:hint="eastAsia" w:ascii="仿宋" w:hAnsi="仿宋" w:eastAsia="仿宋" w:cs="仿宋"/>
      <w:b/>
      <w:bCs/>
      <w:color w:val="FF0000"/>
      <w:sz w:val="24"/>
      <w:szCs w:val="24"/>
      <w:u w:val="none"/>
    </w:rPr>
  </w:style>
  <w:style w:type="character" w:customStyle="1" w:styleId="327">
    <w:name w:val="font112"/>
    <w:basedOn w:val="47"/>
    <w:autoRedefine/>
    <w:qFormat/>
    <w:uiPriority w:val="0"/>
    <w:rPr>
      <w:rFonts w:hint="eastAsia" w:ascii="宋体" w:hAnsi="宋体" w:eastAsia="宋体" w:cs="宋体"/>
      <w:b/>
      <w:bCs/>
      <w:color w:val="FF0000"/>
      <w:sz w:val="28"/>
      <w:szCs w:val="28"/>
      <w:u w:val="none"/>
    </w:rPr>
  </w:style>
  <w:style w:type="character" w:customStyle="1" w:styleId="328">
    <w:name w:val="font61"/>
    <w:basedOn w:val="47"/>
    <w:autoRedefine/>
    <w:qFormat/>
    <w:uiPriority w:val="0"/>
    <w:rPr>
      <w:rFonts w:hint="eastAsia" w:ascii="仿宋" w:hAnsi="仿宋" w:eastAsia="仿宋" w:cs="仿宋"/>
      <w:b/>
      <w:bCs/>
      <w:color w:val="000000"/>
      <w:sz w:val="28"/>
      <w:szCs w:val="28"/>
      <w:u w:val="none"/>
    </w:rPr>
  </w:style>
  <w:style w:type="paragraph" w:styleId="329">
    <w:name w:val="List Paragraph"/>
    <w:basedOn w:val="1"/>
    <w:autoRedefine/>
    <w:qFormat/>
    <w:uiPriority w:val="34"/>
    <w:pPr>
      <w:ind w:firstLine="420" w:firstLineChars="200"/>
    </w:pPr>
  </w:style>
  <w:style w:type="paragraph" w:customStyle="1" w:styleId="330">
    <w:name w:val="目录02"/>
    <w:basedOn w:val="4"/>
    <w:autoRedefine/>
    <w:qFormat/>
    <w:uiPriority w:val="0"/>
    <w:pPr>
      <w:snapToGrid w:val="0"/>
      <w:spacing w:before="120" w:after="0" w:line="240" w:lineRule="auto"/>
      <w:ind w:firstLine="1182" w:firstLineChars="350"/>
      <w:jc w:val="left"/>
    </w:pPr>
    <w:rPr>
      <w:rFonts w:ascii="仿宋_GB2312" w:hAnsi="Times New Roman" w:eastAsia="仿宋_GB2312"/>
      <w:bCs w:val="0"/>
      <w:snapToGrid w:val="0"/>
      <w:color w:val="000000"/>
      <w:kern w:val="0"/>
      <w:szCs w:val="2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wmf"/><Relationship Id="rId14" Type="http://schemas.openxmlformats.org/officeDocument/2006/relationships/oleObject" Target="embeddings/oleObject2.bin"/><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7733;&#22836;&#20272;&#20215;&#27169;&#26495;---&#24066;&#22330;&#27604;&#36739;&#2786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汕头估价模板---市场比较法</Template>
  <Company>微软中国</Company>
  <Pages>52</Pages>
  <Words>31525</Words>
  <Characters>34457</Characters>
  <Lines>398</Lines>
  <Paragraphs>112</Paragraphs>
  <TotalTime>8</TotalTime>
  <ScaleCrop>false</ScaleCrop>
  <LinksUpToDate>false</LinksUpToDate>
  <CharactersWithSpaces>35090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2023-02-20T12:23:00Z</dcterms:created>
  <dc:creator>陈锋涛</dc:creator>
  <cp:lastModifiedBy>小七</cp:lastModifiedBy>
  <cp:lastPrinted>2023-07-20T01:56:00Z</cp:lastPrinted>
  <dcterms:modified xsi:type="dcterms:W3CDTF">2024-05-16T03:00:41Z</dcterms:modified>
  <dc:subject>模板</dc:subject>
  <dc:title>市场比较法</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FCD3AF8515814C1081DAA556088D3A2A_13</vt:lpwstr>
  </property>
</Properties>
</file>